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906"/>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16838" w:hRule="atLeast"/>
        </w:trPr>
        <w:tc>
          <w:tcPr>
            <w:tcW w:type="dxa" w:w="11906"/>
            <w:shd w:fill="0B1F3A" w:val="clear"/>
            <w:tcMar>
              <w:top w:type="dxa" w:w="800"/>
              <w:left w:type="dxa" w:w="800"/>
              <w:bottom w:type="dxa" w:w="800"/>
              <w:right w:type="dxa" w:w="800"/>
            </w:tcMar>
            <w:vAlign w:val="top"/>
          </w:tcPr>
          <w:p>
            <w:pPr>
              <w:spacing w:after="140"/>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 cy="533400"/>
                          </a:xfrm>
                          <a:prstGeom prst="rect">
                            <a:avLst/>
                          </a:prstGeom>
                        </pic:spPr>
                      </pic:pic>
                    </a:graphicData>
                  </a:graphic>
                </wp:inline>
              </w:drawing>
            </w:r>
          </w:p>
          <w:p>
            <w:pPr>
              <w:spacing w:after="340"/>
            </w:pPr>
            <w:r>
              <w:rPr>
                <w:rFonts w:ascii="Arial" w:cs="Arial" w:eastAsia="Arial" w:hAnsi="Arial"/>
                <w:b/>
                <w:bCs/>
                <w:color w:val="FFFFFF"/>
                <w:sz w:val="20"/>
                <w:szCs w:val="20"/>
              </w:rPr>
              <w:t xml:space="preserve">PT LEGALKU MULTI DIGITAL</w:t>
            </w:r>
          </w:p>
          <w:p>
            <w:pPr>
              <w:spacing w:after="320"/>
            </w:pPr>
            <w:r>
              <w:drawing>
                <wp:inline distT="0" distB="0" distL="0" distR="0">
                  <wp:extent cx="5905500" cy="1885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1885950"/>
                          </a:xfrm>
                          <a:prstGeom prst="rect">
                            <a:avLst/>
                          </a:prstGeom>
                        </pic:spPr>
                      </pic:pic>
                    </a:graphicData>
                  </a:graphic>
                </wp:inline>
              </w:drawing>
            </w:r>
          </w:p>
          <w:p>
            <w:pPr>
              <w:spacing w:after="60" w:before="40"/>
            </w:pPr>
            <w:r>
              <w:rPr>
                <w:rFonts w:ascii="Arial" w:cs="Arial" w:eastAsia="Arial" w:hAnsi="Arial"/>
                <w:b/>
                <w:bCs/>
                <w:color w:val="F0D9A0"/>
                <w:sz w:val="16"/>
                <w:szCs w:val="16"/>
                <w:shd w:fill="1E3A63" w:val="clear"/>
              </w:rPr>
              <w:t xml:space="preserve">  KERJA SAMA KOMERSIAL  ·  KEMITRAAN  ·  INVESTASI  </w:t>
            </w:r>
          </w:p>
          <w:p>
            <w:pPr>
              <w:spacing w:after="140" w:before="60"/>
            </w:pPr>
            <w:r>
              <w:rPr>
                <w:rFonts w:ascii="Arial" w:cs="Arial" w:eastAsia="Arial" w:hAnsi="Arial"/>
                <w:b/>
                <w:bCs/>
                <w:color w:val="FFFFFF"/>
                <w:sz w:val="40"/>
                <w:szCs w:val="40"/>
              </w:rPr>
              <w:t xml:space="preserve">Company Profile, Penawaran Harga &amp; Peluang Kemitraan</w:t>
            </w:r>
          </w:p>
          <w:p>
            <w:pPr>
              <w:spacing w:after="260"/>
            </w:pPr>
            <w:r>
              <w:rPr>
                <w:rFonts w:ascii="Arial" w:cs="Arial" w:eastAsia="Arial" w:hAnsi="Arial"/>
                <w:i/>
                <w:iCs/>
                <w:color w:val="DBE4F0"/>
                <w:sz w:val="22"/>
                <w:szCs w:val="22"/>
              </w:rPr>
              <w:t xml:space="preserve">Enam lini bisnis dalam satu grup usaha — Jasa Hukum, Perizinan Segala Usaha, Penerbitan Buku &amp; Jurnal, Air Mineral Quarentine, Aplikasi Legalku, dan LPK Bahasa Korea &amp; Jepang.</w:t>
            </w:r>
          </w:p>
          <w:p>
            <w:pPr>
              <w:pBdr>
                <w:top w:val="single" w:color="C8A24A" w:sz="12" w:space="1"/>
              </w:pBdr>
              <w:spacing w:after="260"/>
              <w:ind w:right="8000"/>
            </w:pPr>
            <w:r>
              <w:rPr>
                <w:sz w:val="2"/>
                <w:szCs w:val="2"/>
              </w:rPr>
              <w:t xml:space="preserve"/>
            </w:r>
          </w:p>
          <w:p>
            <w:pPr>
              <w:spacing w:after="90"/>
            </w:pPr>
            <w:r>
              <w:rPr>
                <w:rFonts w:ascii="Arial" w:cs="Arial" w:eastAsia="Arial" w:hAnsi="Arial"/>
                <w:color w:val="C9D3E2"/>
                <w:sz w:val="18"/>
                <w:szCs w:val="18"/>
              </w:rPr>
              <w:t xml:space="preserve">Dokumen ini menguraikan profil perusahaan, ruang lingkup layanan, skema penawaran harga per divisi, data peluang pasar, serta peluang kemitraan dan investasi PT Legalku Multi Digital — disusun mengikuti format proposal usaha standar nasional.</w:t>
            </w:r>
          </w:p>
          <w:p>
            <w:pPr>
              <w:spacing w:after="1400"/>
            </w:pPr>
          </w:p>
          <w:p>
            <w:pPr>
              <w:pBdr>
                <w:top w:val="single" w:color="3E5B8A" w:sz="4"/>
              </w:pBdr>
              <w:spacing w:after="60"/>
            </w:pPr>
            <w:r>
              <w:rPr>
                <w:rFonts w:ascii="Arial" w:cs="Arial" w:eastAsia="Arial" w:hAnsi="Arial"/>
                <w:b/>
                <w:bCs/>
                <w:color w:val="8FA0BD"/>
                <w:sz w:val="15"/>
                <w:szCs w:val="15"/>
              </w:rPr>
              <w:t xml:space="preserve">DIPERSIAPKAN UNTUK   </w:t>
            </w:r>
            <w:r>
              <w:rPr>
                <w:rFonts w:ascii="Arial" w:cs="Arial" w:eastAsia="Arial" w:hAnsi="Arial"/>
                <w:b/>
                <w:bCs/>
                <w:color w:val="FFFFFF"/>
                <w:sz w:val="18"/>
                <w:szCs w:val="18"/>
              </w:rPr>
              <w:t xml:space="preserve">Calon Klien, Mitra Usaha &amp; Investor</w:t>
            </w:r>
          </w:p>
          <w:p>
            <w:pPr>
              <w:spacing w:after="40"/>
            </w:pPr>
            <w:r>
              <w:rPr>
                <w:rFonts w:ascii="Arial" w:cs="Arial" w:eastAsia="Arial" w:hAnsi="Arial"/>
                <w:color w:val="C9D3E2"/>
                <w:sz w:val="18"/>
                <w:szCs w:val="18"/>
              </w:rPr>
              <w:t xml:space="preserve">Jl. Taman Flamboyan Raya No. 26, Pedurungan Lor, Kota Semarang, Jawa Tengah 50192</w:t>
            </w:r>
          </w:p>
          <w:p>
            <w:pPr>
              <w:spacing w:after="40"/>
            </w:pPr>
            <w:r>
              <w:rPr>
                <w:rFonts w:ascii="Arial" w:cs="Arial" w:eastAsia="Arial" w:hAnsi="Arial"/>
                <w:color w:val="C9D3E2"/>
                <w:sz w:val="18"/>
                <w:szCs w:val="18"/>
              </w:rPr>
              <w:t xml:space="preserve">WhatsApp/Telepon: 0811-2696-066  ·  Email: adm@legalku.co.id  ·  www.legalku.org</w:t>
            </w:r>
          </w:p>
          <w:p>
            <w:r>
              <w:rPr>
                <w:rFonts w:ascii="Arial" w:cs="Arial" w:eastAsia="Arial" w:hAnsi="Arial"/>
                <w:i/>
                <w:iCs/>
                <w:color w:val="8FA0BD"/>
                <w:sz w:val="16"/>
                <w:szCs w:val="16"/>
              </w:rPr>
              <w:t xml:space="preserve">Dokumen disiapkan: September 2026  ·  Bersifat rahasia untuk penerima yang dituju</w:t>
            </w:r>
          </w:p>
        </w:tc>
      </w:tr>
    </w:tbl>
    <w:p>
      <w:pPr>
        <w:sectPr>
          <w:pgSz w:w="11906" w:h="16838" w:orient="portrait"/>
          <w:pgMar w:top="0" w:right="0" w:bottom="0" w:left="0" w:header="708" w:footer="708" w:gutter="0"/>
          <w:pgNumType/>
          <w:docGrid w:linePitch="360"/>
        </w:sectPr>
      </w:pPr>
    </w:p>
    <w:p>
      <w:pPr>
        <w:spacing w:after="80" w:before="60"/>
      </w:pPr>
      <w:r>
        <w:rPr>
          <w:rFonts w:ascii="Arial" w:cs="Arial" w:eastAsia="Arial" w:hAnsi="Arial"/>
          <w:b/>
          <w:bCs/>
          <w:color w:val="C8A24A"/>
          <w:sz w:val="17"/>
          <w:szCs w:val="17"/>
        </w:rPr>
        <w:t xml:space="preserve">DAFTAR ISI</w:t>
      </w:r>
    </w:p>
    <w:p>
      <w:pPr>
        <w:pStyle w:val="Heading1"/>
        <w:spacing w:after="200" w:before="40"/>
      </w:pPr>
      <w:r>
        <w:rPr>
          <w:rFonts w:ascii="Arial" w:cs="Arial" w:eastAsia="Arial" w:hAnsi="Arial"/>
          <w:b/>
          <w:bCs/>
          <w:color w:val="0B1F3A"/>
          <w:sz w:val="32"/>
          <w:szCs w:val="32"/>
        </w:rPr>
        <w:t xml:space="preserve">Daftar Isi</w:t>
      </w:r>
    </w:p>
    <w:p>
      <w:pPr>
        <w:tabs>
          <w:tab w:val="right" w:pos="9026" w:leader="dot"/>
        </w:tabs>
        <w:spacing w:after="110"/>
        <w:ind w:left="0"/>
      </w:pPr>
      <w:r>
        <w:rPr>
          <w:rFonts w:ascii="Arial" w:cs="Arial" w:eastAsia="Arial" w:hAnsi="Arial"/>
          <w:b/>
          <w:bCs/>
          <w:color w:val="0B1F3A"/>
          <w:sz w:val="21"/>
          <w:szCs w:val="21"/>
        </w:rPr>
        <w:t xml:space="preserve">Ringkasan Eksekutif</w:t>
      </w:r>
      <w:r>
        <w:rPr>
          <w:rFonts w:ascii="Arial" w:cs="Arial" w:eastAsia="Arial" w:hAnsi="Arial"/>
          <w:b/>
          <w:bCs/>
          <w:color w:val="0B1F3A"/>
          <w:sz w:val="21"/>
          <w:szCs w:val="21"/>
        </w:rPr>
        <w:t xml:space="preserve">	3</w:t>
      </w:r>
    </w:p>
    <w:p>
      <w:pPr>
        <w:tabs>
          <w:tab w:val="right" w:pos="9026" w:leader="dot"/>
        </w:tabs>
        <w:spacing w:after="110"/>
        <w:ind w:left="0"/>
      </w:pPr>
      <w:r>
        <w:rPr>
          <w:rFonts w:ascii="Arial" w:cs="Arial" w:eastAsia="Arial" w:hAnsi="Arial"/>
          <w:b/>
          <w:bCs/>
          <w:color w:val="0B1F3A"/>
          <w:sz w:val="21"/>
          <w:szCs w:val="21"/>
        </w:rPr>
        <w:t xml:space="preserve">Tentang Perusahaan</w:t>
      </w:r>
      <w:r>
        <w:rPr>
          <w:rFonts w:ascii="Arial" w:cs="Arial" w:eastAsia="Arial" w:hAnsi="Arial"/>
          <w:b/>
          <w:bCs/>
          <w:color w:val="0B1F3A"/>
          <w:sz w:val="21"/>
          <w:szCs w:val="21"/>
        </w:rPr>
        <w:t xml:space="preserve">	4</w:t>
      </w:r>
    </w:p>
    <w:p>
      <w:pPr>
        <w:tabs>
          <w:tab w:val="right" w:pos="9026" w:leader="dot"/>
        </w:tabs>
        <w:spacing w:after="110"/>
        <w:ind w:left="300"/>
      </w:pPr>
      <w:r>
        <w:rPr>
          <w:rFonts w:ascii="Arial" w:cs="Arial" w:eastAsia="Arial" w:hAnsi="Arial"/>
          <w:b w:val="false"/>
          <w:bCs w:val="false"/>
          <w:color w:val="3A3F47"/>
          <w:sz w:val="19"/>
          <w:szCs w:val="19"/>
        </w:rPr>
        <w:t xml:space="preserve">Legalitas &amp; Struktur Organisasi</w:t>
      </w:r>
      <w:r>
        <w:rPr>
          <w:rFonts w:ascii="Arial" w:cs="Arial" w:eastAsia="Arial" w:hAnsi="Arial"/>
          <w:b w:val="false"/>
          <w:bCs w:val="false"/>
          <w:color w:val="0B1F3A"/>
          <w:sz w:val="19"/>
          <w:szCs w:val="19"/>
        </w:rPr>
        <w:t xml:space="preserve">	4</w:t>
      </w:r>
    </w:p>
    <w:p>
      <w:pPr>
        <w:tabs>
          <w:tab w:val="right" w:pos="9026" w:leader="dot"/>
        </w:tabs>
        <w:spacing w:after="110"/>
        <w:ind w:left="300"/>
      </w:pPr>
      <w:r>
        <w:rPr>
          <w:rFonts w:ascii="Arial" w:cs="Arial" w:eastAsia="Arial" w:hAnsi="Arial"/>
          <w:b w:val="false"/>
          <w:bCs w:val="false"/>
          <w:color w:val="3A3F47"/>
          <w:sz w:val="19"/>
          <w:szCs w:val="19"/>
        </w:rPr>
        <w:t xml:space="preserve">Visi, Misi &amp; Nilai Perusahaan</w:t>
      </w:r>
      <w:r>
        <w:rPr>
          <w:rFonts w:ascii="Arial" w:cs="Arial" w:eastAsia="Arial" w:hAnsi="Arial"/>
          <w:b w:val="false"/>
          <w:bCs w:val="false"/>
          <w:color w:val="0B1F3A"/>
          <w:sz w:val="19"/>
          <w:szCs w:val="19"/>
        </w:rPr>
        <w:t xml:space="preserve">	5</w:t>
      </w:r>
    </w:p>
    <w:p>
      <w:pPr>
        <w:tabs>
          <w:tab w:val="right" w:pos="9026" w:leader="dot"/>
        </w:tabs>
        <w:spacing w:after="110"/>
        <w:ind w:left="0"/>
      </w:pPr>
      <w:r>
        <w:rPr>
          <w:rFonts w:ascii="Arial" w:cs="Arial" w:eastAsia="Arial" w:hAnsi="Arial"/>
          <w:b/>
          <w:bCs/>
          <w:color w:val="0B1F3A"/>
          <w:sz w:val="21"/>
          <w:szCs w:val="21"/>
        </w:rPr>
        <w:t xml:space="preserve">Mengapa Bermitra dengan Kami</w:t>
      </w:r>
      <w:r>
        <w:rPr>
          <w:rFonts w:ascii="Arial" w:cs="Arial" w:eastAsia="Arial" w:hAnsi="Arial"/>
          <w:b/>
          <w:bCs/>
          <w:color w:val="0B1F3A"/>
          <w:sz w:val="21"/>
          <w:szCs w:val="21"/>
        </w:rPr>
        <w:t xml:space="preserve">	6</w:t>
      </w:r>
    </w:p>
    <w:p>
      <w:pPr>
        <w:tabs>
          <w:tab w:val="right" w:pos="9026" w:leader="dot"/>
        </w:tabs>
        <w:spacing w:after="110"/>
        <w:ind w:left="300"/>
      </w:pPr>
      <w:r>
        <w:rPr>
          <w:rFonts w:ascii="Arial" w:cs="Arial" w:eastAsia="Arial" w:hAnsi="Arial"/>
          <w:b w:val="false"/>
          <w:bCs w:val="false"/>
          <w:color w:val="3A3F47"/>
          <w:sz w:val="19"/>
          <w:szCs w:val="19"/>
        </w:rPr>
        <w:t xml:space="preserve">Kredibilitas &amp; Keamanan Berinvestasi</w:t>
      </w:r>
      <w:r>
        <w:rPr>
          <w:rFonts w:ascii="Arial" w:cs="Arial" w:eastAsia="Arial" w:hAnsi="Arial"/>
          <w:b w:val="false"/>
          <w:bCs w:val="false"/>
          <w:color w:val="0B1F3A"/>
          <w:sz w:val="19"/>
          <w:szCs w:val="19"/>
        </w:rPr>
        <w:t xml:space="preserve">	6</w:t>
      </w:r>
    </w:p>
    <w:p>
      <w:pPr>
        <w:tabs>
          <w:tab w:val="right" w:pos="9026" w:leader="dot"/>
        </w:tabs>
        <w:spacing w:after="110"/>
        <w:ind w:left="0"/>
      </w:pPr>
      <w:r>
        <w:rPr>
          <w:rFonts w:ascii="Arial" w:cs="Arial" w:eastAsia="Arial" w:hAnsi="Arial"/>
          <w:b/>
          <w:bCs/>
          <w:color w:val="0B1F3A"/>
          <w:sz w:val="21"/>
          <w:szCs w:val="21"/>
        </w:rPr>
        <w:t xml:space="preserve">Layanan &amp; Penawaran Harga</w:t>
      </w:r>
      <w:r>
        <w:rPr>
          <w:rFonts w:ascii="Arial" w:cs="Arial" w:eastAsia="Arial" w:hAnsi="Arial"/>
          <w:b/>
          <w:bCs/>
          <w:color w:val="0B1F3A"/>
          <w:sz w:val="21"/>
          <w:szCs w:val="21"/>
        </w:rPr>
        <w:t xml:space="preserve">	8</w:t>
      </w:r>
    </w:p>
    <w:p>
      <w:pPr>
        <w:tabs>
          <w:tab w:val="right" w:pos="9026" w:leader="dot"/>
        </w:tabs>
        <w:spacing w:after="110"/>
        <w:ind w:left="300"/>
      </w:pPr>
      <w:r>
        <w:rPr>
          <w:rFonts w:ascii="Arial" w:cs="Arial" w:eastAsia="Arial" w:hAnsi="Arial"/>
          <w:b w:val="false"/>
          <w:bCs w:val="false"/>
          <w:color w:val="3A3F47"/>
          <w:sz w:val="19"/>
          <w:szCs w:val="19"/>
        </w:rPr>
        <w:t xml:space="preserve">1. Jasa Hukum</w:t>
      </w:r>
      <w:r>
        <w:rPr>
          <w:rFonts w:ascii="Arial" w:cs="Arial" w:eastAsia="Arial" w:hAnsi="Arial"/>
          <w:b w:val="false"/>
          <w:bCs w:val="false"/>
          <w:color w:val="0B1F3A"/>
          <w:sz w:val="19"/>
          <w:szCs w:val="19"/>
        </w:rPr>
        <w:t xml:space="preserve">	9</w:t>
      </w:r>
    </w:p>
    <w:p>
      <w:pPr>
        <w:tabs>
          <w:tab w:val="right" w:pos="9026" w:leader="dot"/>
        </w:tabs>
        <w:spacing w:after="110"/>
        <w:ind w:left="300"/>
      </w:pPr>
      <w:r>
        <w:rPr>
          <w:rFonts w:ascii="Arial" w:cs="Arial" w:eastAsia="Arial" w:hAnsi="Arial"/>
          <w:b w:val="false"/>
          <w:bCs w:val="false"/>
          <w:color w:val="3A3F47"/>
          <w:sz w:val="19"/>
          <w:szCs w:val="19"/>
        </w:rPr>
        <w:t xml:space="preserve">2. Perizinan Segala Usaha</w:t>
      </w:r>
      <w:r>
        <w:rPr>
          <w:rFonts w:ascii="Arial" w:cs="Arial" w:eastAsia="Arial" w:hAnsi="Arial"/>
          <w:b w:val="false"/>
          <w:bCs w:val="false"/>
          <w:color w:val="0B1F3A"/>
          <w:sz w:val="19"/>
          <w:szCs w:val="19"/>
        </w:rPr>
        <w:t xml:space="preserve">	10</w:t>
      </w:r>
    </w:p>
    <w:p>
      <w:pPr>
        <w:tabs>
          <w:tab w:val="right" w:pos="9026" w:leader="dot"/>
        </w:tabs>
        <w:spacing w:after="110"/>
        <w:ind w:left="300"/>
      </w:pPr>
      <w:r>
        <w:rPr>
          <w:rFonts w:ascii="Arial" w:cs="Arial" w:eastAsia="Arial" w:hAnsi="Arial"/>
          <w:b w:val="false"/>
          <w:bCs w:val="false"/>
          <w:color w:val="3A3F47"/>
          <w:sz w:val="19"/>
          <w:szCs w:val="19"/>
        </w:rPr>
        <w:t xml:space="preserve">3. Penerbitan Buku &amp; Jurnal</w:t>
      </w:r>
      <w:r>
        <w:rPr>
          <w:rFonts w:ascii="Arial" w:cs="Arial" w:eastAsia="Arial" w:hAnsi="Arial"/>
          <w:b w:val="false"/>
          <w:bCs w:val="false"/>
          <w:color w:val="0B1F3A"/>
          <w:sz w:val="19"/>
          <w:szCs w:val="19"/>
        </w:rPr>
        <w:t xml:space="preserve">	11</w:t>
      </w:r>
    </w:p>
    <w:p>
      <w:pPr>
        <w:tabs>
          <w:tab w:val="right" w:pos="9026" w:leader="dot"/>
        </w:tabs>
        <w:spacing w:after="110"/>
        <w:ind w:left="300"/>
      </w:pPr>
      <w:r>
        <w:rPr>
          <w:rFonts w:ascii="Arial" w:cs="Arial" w:eastAsia="Arial" w:hAnsi="Arial"/>
          <w:b w:val="false"/>
          <w:bCs w:val="false"/>
          <w:color w:val="3A3F47"/>
          <w:sz w:val="19"/>
          <w:szCs w:val="19"/>
        </w:rPr>
        <w:t xml:space="preserve">4. Air Mineral Quarentine</w:t>
      </w:r>
      <w:r>
        <w:rPr>
          <w:rFonts w:ascii="Arial" w:cs="Arial" w:eastAsia="Arial" w:hAnsi="Arial"/>
          <w:b w:val="false"/>
          <w:bCs w:val="false"/>
          <w:color w:val="0B1F3A"/>
          <w:sz w:val="19"/>
          <w:szCs w:val="19"/>
        </w:rPr>
        <w:t xml:space="preserve">	12</w:t>
      </w:r>
    </w:p>
    <w:p>
      <w:pPr>
        <w:tabs>
          <w:tab w:val="right" w:pos="9026" w:leader="dot"/>
        </w:tabs>
        <w:spacing w:after="110"/>
        <w:ind w:left="300"/>
      </w:pPr>
      <w:r>
        <w:rPr>
          <w:rFonts w:ascii="Arial" w:cs="Arial" w:eastAsia="Arial" w:hAnsi="Arial"/>
          <w:b w:val="false"/>
          <w:bCs w:val="false"/>
          <w:color w:val="3A3F47"/>
          <w:sz w:val="19"/>
          <w:szCs w:val="19"/>
        </w:rPr>
        <w:t xml:space="preserve">5. Aplikasi Legalku</w:t>
      </w:r>
      <w:r>
        <w:rPr>
          <w:rFonts w:ascii="Arial" w:cs="Arial" w:eastAsia="Arial" w:hAnsi="Arial"/>
          <w:b w:val="false"/>
          <w:bCs w:val="false"/>
          <w:color w:val="0B1F3A"/>
          <w:sz w:val="19"/>
          <w:szCs w:val="19"/>
        </w:rPr>
        <w:t xml:space="preserve">	13</w:t>
      </w:r>
    </w:p>
    <w:p>
      <w:pPr>
        <w:tabs>
          <w:tab w:val="right" w:pos="9026" w:leader="dot"/>
        </w:tabs>
        <w:spacing w:after="110"/>
        <w:ind w:left="300"/>
      </w:pPr>
      <w:r>
        <w:rPr>
          <w:rFonts w:ascii="Arial" w:cs="Arial" w:eastAsia="Arial" w:hAnsi="Arial"/>
          <w:b w:val="false"/>
          <w:bCs w:val="false"/>
          <w:color w:val="3A3F47"/>
          <w:sz w:val="19"/>
          <w:szCs w:val="19"/>
        </w:rPr>
        <w:t xml:space="preserve">6. LPK Bahasa Korea &amp; Jepang</w:t>
      </w:r>
      <w:r>
        <w:rPr>
          <w:rFonts w:ascii="Arial" w:cs="Arial" w:eastAsia="Arial" w:hAnsi="Arial"/>
          <w:b w:val="false"/>
          <w:bCs w:val="false"/>
          <w:color w:val="0B1F3A"/>
          <w:sz w:val="19"/>
          <w:szCs w:val="19"/>
        </w:rPr>
        <w:t xml:space="preserve">	14</w:t>
      </w:r>
    </w:p>
    <w:p>
      <w:pPr>
        <w:tabs>
          <w:tab w:val="right" w:pos="9026" w:leader="dot"/>
        </w:tabs>
        <w:spacing w:after="110"/>
        <w:ind w:left="0"/>
      </w:pPr>
      <w:r>
        <w:rPr>
          <w:rFonts w:ascii="Arial" w:cs="Arial" w:eastAsia="Arial" w:hAnsi="Arial"/>
          <w:b/>
          <w:bCs/>
          <w:color w:val="0B1F3A"/>
          <w:sz w:val="21"/>
          <w:szCs w:val="21"/>
        </w:rPr>
        <w:t xml:space="preserve">Peluang Pasar</w:t>
      </w:r>
      <w:r>
        <w:rPr>
          <w:rFonts w:ascii="Arial" w:cs="Arial" w:eastAsia="Arial" w:hAnsi="Arial"/>
          <w:b/>
          <w:bCs/>
          <w:color w:val="0B1F3A"/>
          <w:sz w:val="21"/>
          <w:szCs w:val="21"/>
        </w:rPr>
        <w:t xml:space="preserve">	15</w:t>
      </w:r>
    </w:p>
    <w:p>
      <w:pPr>
        <w:tabs>
          <w:tab w:val="right" w:pos="9026" w:leader="dot"/>
        </w:tabs>
        <w:spacing w:after="110"/>
        <w:ind w:left="0"/>
      </w:pPr>
      <w:r>
        <w:rPr>
          <w:rFonts w:ascii="Arial" w:cs="Arial" w:eastAsia="Arial" w:hAnsi="Arial"/>
          <w:b/>
          <w:bCs/>
          <w:color w:val="0B1F3A"/>
          <w:sz w:val="21"/>
          <w:szCs w:val="21"/>
        </w:rPr>
        <w:t xml:space="preserve">Rencana Investasi Jangka Panjang</w:t>
      </w:r>
      <w:r>
        <w:rPr>
          <w:rFonts w:ascii="Arial" w:cs="Arial" w:eastAsia="Arial" w:hAnsi="Arial"/>
          <w:b/>
          <w:bCs/>
          <w:color w:val="0B1F3A"/>
          <w:sz w:val="21"/>
          <w:szCs w:val="21"/>
        </w:rPr>
        <w:t xml:space="preserve">	16</w:t>
      </w:r>
    </w:p>
    <w:p>
      <w:pPr>
        <w:tabs>
          <w:tab w:val="right" w:pos="9026" w:leader="dot"/>
        </w:tabs>
        <w:spacing w:after="110"/>
        <w:ind w:left="0"/>
      </w:pPr>
      <w:r>
        <w:rPr>
          <w:rFonts w:ascii="Arial" w:cs="Arial" w:eastAsia="Arial" w:hAnsi="Arial"/>
          <w:b/>
          <w:bCs/>
          <w:color w:val="0B1F3A"/>
          <w:sz w:val="21"/>
          <w:szCs w:val="21"/>
        </w:rPr>
        <w:t xml:space="preserve">Syarat &amp; Ketentuan Umum Penawaran</w:t>
      </w:r>
      <w:r>
        <w:rPr>
          <w:rFonts w:ascii="Arial" w:cs="Arial" w:eastAsia="Arial" w:hAnsi="Arial"/>
          <w:b/>
          <w:bCs/>
          <w:color w:val="0B1F3A"/>
          <w:sz w:val="21"/>
          <w:szCs w:val="21"/>
        </w:rPr>
        <w:t xml:space="preserve">	17</w:t>
      </w:r>
    </w:p>
    <w:p>
      <w:pPr>
        <w:tabs>
          <w:tab w:val="right" w:pos="9026" w:leader="dot"/>
        </w:tabs>
        <w:spacing w:after="110"/>
        <w:ind w:left="0"/>
      </w:pPr>
      <w:r>
        <w:rPr>
          <w:rFonts w:ascii="Arial" w:cs="Arial" w:eastAsia="Arial" w:hAnsi="Arial"/>
          <w:b/>
          <w:bCs/>
          <w:color w:val="0B1F3A"/>
          <w:sz w:val="21"/>
          <w:szCs w:val="21"/>
        </w:rPr>
        <w:t xml:space="preserve">Penutup &amp; Kontak</w:t>
      </w:r>
      <w:r>
        <w:rPr>
          <w:rFonts w:ascii="Arial" w:cs="Arial" w:eastAsia="Arial" w:hAnsi="Arial"/>
          <w:b/>
          <w:bCs/>
          <w:color w:val="0B1F3A"/>
          <w:sz w:val="21"/>
          <w:szCs w:val="21"/>
        </w:rPr>
        <w:t xml:space="preserve">	18</w:t>
      </w:r>
    </w:p>
    <w:p>
      <w:r>
        <w:br w:type="page"/>
      </w:r>
    </w:p>
    <w:p>
      <w:pPr>
        <w:spacing w:after="80" w:before="60"/>
      </w:pPr>
      <w:r>
        <w:rPr>
          <w:rFonts w:ascii="Arial" w:cs="Arial" w:eastAsia="Arial" w:hAnsi="Arial"/>
          <w:b/>
          <w:bCs/>
          <w:color w:val="C8A24A"/>
          <w:sz w:val="17"/>
          <w:szCs w:val="17"/>
        </w:rPr>
        <w:t xml:space="preserve">RINGKASAN EKSEKUTIF</w:t>
      </w:r>
    </w:p>
    <w:p>
      <w:pPr>
        <w:pStyle w:val="Heading1"/>
        <w:spacing w:after="200" w:before="40"/>
      </w:pPr>
      <w:r>
        <w:rPr>
          <w:rFonts w:ascii="Arial" w:cs="Arial" w:eastAsia="Arial" w:hAnsi="Arial"/>
          <w:b/>
          <w:bCs/>
          <w:color w:val="0B1F3A"/>
          <w:sz w:val="32"/>
          <w:szCs w:val="32"/>
        </w:rPr>
        <w:t xml:space="preserve">Satu Grup Usaha, Enam Solusi Terintegrasi</w:t>
      </w:r>
    </w:p>
    <w:p>
      <w:pPr>
        <w:spacing w:after="160"/>
        <w:jc w:val="both"/>
      </w:pPr>
      <w:r>
        <w:rPr>
          <w:rFonts w:ascii="Arial" w:cs="Arial" w:eastAsia="Arial" w:hAnsi="Arial"/>
          <w:color w:val="3A3F47"/>
          <w:sz w:val="20"/>
          <w:szCs w:val="20"/>
        </w:rPr>
        <w:t xml:space="preserve">PT Legalku Multi Digital adalah perusahaan multi-usaha berbadan hukum resmi (Perseroan Terbatas) yang berkedudukan di Semarang, Jawa Tengah, dan mengintegrasikan </w:t>
      </w:r>
      <w:r>
        <w:rPr>
          <w:rFonts w:ascii="Arial" w:cs="Arial" w:eastAsia="Arial" w:hAnsi="Arial"/>
          <w:b/>
          <w:bCs/>
          <w:color w:val="3A3F47"/>
          <w:sz w:val="20"/>
          <w:szCs w:val="20"/>
        </w:rPr>
        <w:t xml:space="preserve">enam lini bisnis</w:t>
      </w:r>
      <w:r>
        <w:rPr>
          <w:rFonts w:ascii="Arial" w:cs="Arial" w:eastAsia="Arial" w:hAnsi="Arial"/>
          <w:color w:val="3A3F47"/>
          <w:sz w:val="20"/>
          <w:szCs w:val="20"/>
        </w:rPr>
        <w:t xml:space="preserve"> dalam satu manajemen: Jasa Hukum, Perizinan Segala Usaha, Penerbitan Buku &amp; Jurnal, Pabrik Air Mineral Quarentine, Aplikasi Legalku (konsultasi hukum online), serta LPK Bahasa Korea &amp; Jepang (LPK Hanggugo Indonesia) yang berbasis di Batang, Jawa Tengah.</w:t>
      </w:r>
    </w:p>
    <w:p>
      <w:pPr>
        <w:spacing w:after="160"/>
        <w:jc w:val="both"/>
      </w:pPr>
      <w:r>
        <w:rPr>
          <w:rFonts w:ascii="Arial" w:cs="Arial" w:eastAsia="Arial" w:hAnsi="Arial"/>
          <w:color w:val="3A3F47"/>
          <w:sz w:val="20"/>
          <w:szCs w:val="20"/>
        </w:rPr>
        <w:t xml:space="preserve">Dokumen ini disusun sebagai </w:t>
      </w:r>
      <w:r>
        <w:rPr>
          <w:rFonts w:ascii="Arial" w:cs="Arial" w:eastAsia="Arial" w:hAnsi="Arial"/>
          <w:b/>
          <w:bCs/>
          <w:color w:val="3A3F47"/>
          <w:sz w:val="20"/>
          <w:szCs w:val="20"/>
        </w:rPr>
        <w:t xml:space="preserve">proposal penawaran kerja sama</w:t>
      </w:r>
      <w:r>
        <w:rPr>
          <w:rFonts w:ascii="Arial" w:cs="Arial" w:eastAsia="Arial" w:hAnsi="Arial"/>
          <w:color w:val="3A3F47"/>
          <w:sz w:val="20"/>
          <w:szCs w:val="20"/>
        </w:rPr>
        <w:t xml:space="preserve"> — memuat profil perusahaan, ruang lingkup layanan tiap divisi, skema penawaran harga, data peluang pasar, serta peluang kemitraan dan investasi — untuk dipelajari oleh calon klien, mitra usaha, maupun investor/pemodal yang berminat menjalin kerja sama dengan PT Legalku Multi Digital.</w:t>
      </w:r>
    </w:p>
    <w:p>
      <w:pPr>
        <w:spacing w:after="8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337"/>
        <w:gridCol w:w="2337"/>
        <w:gridCol w:w="2337"/>
        <w:gridCol w:w="2337"/>
      </w:tblGrid>
      <w:tr>
        <w:tc>
          <w:tcPr>
            <w:tcW w:type="dxa" w:w="2337"/>
            <w:tcBorders>
              <w:top w:val="single" w:color="C8A24A" w:sz="18"/>
            </w:tcBorders>
            <w:shd w:fill="FBF6E9" w:val="clear"/>
            <w:tcMar>
              <w:top w:type="dxa" w:w="130"/>
              <w:left w:type="dxa" w:w="140"/>
              <w:bottom w:type="dxa" w:w="110"/>
              <w:right w:type="dxa" w:w="140"/>
            </w:tcMar>
          </w:tcPr>
          <w:p>
            <w:r>
              <w:rPr>
                <w:rFonts w:ascii="Arial" w:cs="Arial" w:eastAsia="Arial" w:hAnsi="Arial"/>
                <w:b/>
                <w:bCs/>
                <w:color w:val="0B1F3A"/>
                <w:sz w:val="25"/>
                <w:szCs w:val="25"/>
              </w:rPr>
              <w:t xml:space="preserve">6</w:t>
            </w:r>
          </w:p>
          <w:p>
            <w:r>
              <w:rPr>
                <w:rFonts w:ascii="Arial" w:cs="Arial" w:eastAsia="Arial" w:hAnsi="Arial"/>
                <w:color w:val="3A3F47"/>
                <w:sz w:val="15"/>
                <w:szCs w:val="15"/>
              </w:rPr>
              <w:t xml:space="preserve">Lini bisnis terintegrasi</w:t>
            </w:r>
          </w:p>
        </w:tc>
        <w:tc>
          <w:tcPr>
            <w:tcW w:type="dxa" w:w="2337"/>
            <w:tcBorders>
              <w:top w:val="single" w:color="C8A24A" w:sz="18"/>
            </w:tcBorders>
            <w:shd w:fill="FBF6E9" w:val="clear"/>
            <w:tcMar>
              <w:top w:type="dxa" w:w="130"/>
              <w:left w:type="dxa" w:w="140"/>
              <w:bottom w:type="dxa" w:w="110"/>
              <w:right w:type="dxa" w:w="140"/>
            </w:tcMar>
          </w:tcPr>
          <w:p>
            <w:r>
              <w:rPr>
                <w:rFonts w:ascii="Arial" w:cs="Arial" w:eastAsia="Arial" w:hAnsi="Arial"/>
                <w:b/>
                <w:bCs/>
                <w:color w:val="0B1F3A"/>
                <w:sz w:val="25"/>
                <w:szCs w:val="25"/>
              </w:rPr>
              <w:t xml:space="preserve">2026</w:t>
            </w:r>
          </w:p>
          <w:p>
            <w:r>
              <w:rPr>
                <w:rFonts w:ascii="Arial" w:cs="Arial" w:eastAsia="Arial" w:hAnsi="Arial"/>
                <w:color w:val="3A3F47"/>
                <w:sz w:val="15"/>
                <w:szCs w:val="15"/>
              </w:rPr>
              <w:t xml:space="preserve">Tahun dokumen disiapkan</w:t>
            </w:r>
          </w:p>
        </w:tc>
        <w:tc>
          <w:tcPr>
            <w:tcW w:type="dxa" w:w="2337"/>
            <w:tcBorders>
              <w:top w:val="single" w:color="C8A24A" w:sz="18"/>
            </w:tcBorders>
            <w:shd w:fill="FBF6E9" w:val="clear"/>
            <w:tcMar>
              <w:top w:type="dxa" w:w="130"/>
              <w:left w:type="dxa" w:w="140"/>
              <w:bottom w:type="dxa" w:w="110"/>
              <w:right w:type="dxa" w:w="140"/>
            </w:tcMar>
          </w:tcPr>
          <w:p>
            <w:r>
              <w:rPr>
                <w:rFonts w:ascii="Arial" w:cs="Arial" w:eastAsia="Arial" w:hAnsi="Arial"/>
                <w:b/>
                <w:bCs/>
                <w:color w:val="0B1F3A"/>
                <w:sz w:val="25"/>
                <w:szCs w:val="25"/>
              </w:rPr>
              <w:t xml:space="preserve">1</w:t>
            </w:r>
          </w:p>
          <w:p>
            <w:r>
              <w:rPr>
                <w:rFonts w:ascii="Arial" w:cs="Arial" w:eastAsia="Arial" w:hAnsi="Arial"/>
                <w:color w:val="3A3F47"/>
                <w:sz w:val="15"/>
                <w:szCs w:val="15"/>
              </w:rPr>
              <w:t xml:space="preserve">Badan hukum, PT resmi</w:t>
            </w:r>
          </w:p>
        </w:tc>
        <w:tc>
          <w:tcPr>
            <w:tcW w:type="dxa" w:w="2337"/>
            <w:tcBorders>
              <w:top w:val="single" w:color="C8A24A" w:sz="18"/>
            </w:tcBorders>
            <w:shd w:fill="FBF6E9" w:val="clear"/>
            <w:tcMar>
              <w:top w:type="dxa" w:w="130"/>
              <w:left w:type="dxa" w:w="140"/>
              <w:bottom w:type="dxa" w:w="110"/>
              <w:right w:type="dxa" w:w="140"/>
            </w:tcMar>
          </w:tcPr>
          <w:p>
            <w:r>
              <w:rPr>
                <w:rFonts w:ascii="Arial" w:cs="Arial" w:eastAsia="Arial" w:hAnsi="Arial"/>
                <w:b/>
                <w:bCs/>
                <w:color w:val="0B1F3A"/>
                <w:sz w:val="25"/>
                <w:szCs w:val="25"/>
              </w:rPr>
              <w:t xml:space="preserve">2</w:t>
            </w:r>
          </w:p>
          <w:p>
            <w:r>
              <w:rPr>
                <w:rFonts w:ascii="Arial" w:cs="Arial" w:eastAsia="Arial" w:hAnsi="Arial"/>
                <w:color w:val="3A3F47"/>
                <w:sz w:val="15"/>
                <w:szCs w:val="15"/>
              </w:rPr>
              <w:t xml:space="preserve">Kota basis operasi (Semarang &amp; Batang)</w:t>
            </w:r>
          </w:p>
        </w:tc>
      </w:tr>
    </w:tbl>
    <w:p>
      <w:pPr>
        <w:spacing w:after="160"/>
      </w:pPr>
    </w:p>
    <w:p>
      <w:pPr>
        <w:pStyle w:val="Heading2"/>
        <w:spacing w:after="120" w:before="220"/>
      </w:pPr>
      <w:r>
        <w:rPr>
          <w:rFonts w:ascii="Arial" w:cs="Arial" w:eastAsia="Arial" w:hAnsi="Arial"/>
          <w:b/>
          <w:bCs/>
          <w:color w:val="0B1F3A"/>
          <w:sz w:val="24"/>
          <w:szCs w:val="24"/>
        </w:rPr>
        <w:t xml:space="preserve">Model Bisnis Multi-Lini yang Saling Terhubung</w:t>
      </w:r>
    </w:p>
    <w:p>
      <w:pPr>
        <w:spacing w:after="160"/>
        <w:jc w:val="both"/>
      </w:pPr>
      <w:r>
        <w:rPr>
          <w:rFonts w:ascii="Arial" w:cs="Arial" w:eastAsia="Arial" w:hAnsi="Arial"/>
          <w:color w:val="3A3F47"/>
          <w:sz w:val="20"/>
          <w:szCs w:val="20"/>
        </w:rPr>
        <w:t xml:space="preserve">Model bisnis grup memungkinkan klien maupun mitra mendapatkan layanan yang saling terhubung — misalnya, sebuah usaha yang baru berdiri dapat memperoleh pendampingan hukum, pengurusan perizinan, penerbitan materi edukasi, kebutuhan air minum operasional, hingga pelatihan bahasa &amp; jalur kerja ke luar negeri bagi tenaga kerjanya, dari satu mitra yang sama.</w:t>
      </w:r>
    </w:p>
    <w:p>
      <w:pPr>
        <w:pStyle w:val="Heading2"/>
        <w:spacing w:after="120" w:before="220"/>
      </w:pPr>
      <w:r>
        <w:rPr>
          <w:rFonts w:ascii="Arial" w:cs="Arial" w:eastAsia="Arial" w:hAnsi="Arial"/>
          <w:b/>
          <w:bCs/>
          <w:color w:val="0B1F3A"/>
          <w:sz w:val="24"/>
          <w:szCs w:val="24"/>
        </w:rPr>
        <w:t xml:space="preserve">Cara Membaca Dokumen Ini</w:t>
      </w:r>
    </w:p>
    <w:p>
      <w:pPr>
        <w:spacing w:after="160"/>
        <w:jc w:val="both"/>
      </w:pPr>
      <w:r>
        <w:rPr>
          <w:rFonts w:ascii="Arial" w:cs="Arial" w:eastAsia="Arial" w:hAnsi="Arial"/>
          <w:color w:val="3A3F47"/>
          <w:sz w:val="20"/>
          <w:szCs w:val="20"/>
        </w:rPr>
        <w:t xml:space="preserve">Bagian </w:t>
      </w:r>
      <w:r>
        <w:rPr>
          <w:rFonts w:ascii="Arial" w:cs="Arial" w:eastAsia="Arial" w:hAnsi="Arial"/>
          <w:b/>
          <w:bCs/>
          <w:color w:val="3A3F47"/>
          <w:sz w:val="20"/>
          <w:szCs w:val="20"/>
        </w:rPr>
        <w:t xml:space="preserve">Tentang Perusahaan</w:t>
      </w:r>
      <w:r>
        <w:rPr>
          <w:rFonts w:ascii="Arial" w:cs="Arial" w:eastAsia="Arial" w:hAnsi="Arial"/>
          <w:color w:val="3A3F47"/>
          <w:sz w:val="20"/>
          <w:szCs w:val="20"/>
        </w:rPr>
        <w:t xml:space="preserve"> memuat legalitas dan arah perusahaan. Bagian </w:t>
      </w:r>
      <w:r>
        <w:rPr>
          <w:rFonts w:ascii="Arial" w:cs="Arial" w:eastAsia="Arial" w:hAnsi="Arial"/>
          <w:b/>
          <w:bCs/>
          <w:color w:val="3A3F47"/>
          <w:sz w:val="20"/>
          <w:szCs w:val="20"/>
        </w:rPr>
        <w:t xml:space="preserve">Layanan &amp; Penawaran Harga</w:t>
      </w:r>
      <w:r>
        <w:rPr>
          <w:rFonts w:ascii="Arial" w:cs="Arial" w:eastAsia="Arial" w:hAnsi="Arial"/>
          <w:color w:val="3A3F47"/>
          <w:sz w:val="20"/>
          <w:szCs w:val="20"/>
        </w:rPr>
        <w:t xml:space="preserve"> menguraikan ruang lingkup dan skema biaya tiap divisi — sebagian sudah memiliki daftar biaya resmi (Air Mineral Quarentine, LPK Korea &amp; Jepang), sedangkan divisi lain menyediakan estimasi biaya melalui konsultasi awal karena sifat pekerjaannya menyesuaikan kebutuhan tiap klien. Bagian akhir memuat </w:t>
      </w:r>
      <w:r>
        <w:rPr>
          <w:rFonts w:ascii="Arial" w:cs="Arial" w:eastAsia="Arial" w:hAnsi="Arial"/>
          <w:b/>
          <w:bCs/>
          <w:color w:val="3A3F47"/>
          <w:sz w:val="20"/>
          <w:szCs w:val="20"/>
        </w:rPr>
        <w:t xml:space="preserve">peluang kemitraan/investasi</w:t>
      </w:r>
      <w:r>
        <w:rPr>
          <w:rFonts w:ascii="Arial" w:cs="Arial" w:eastAsia="Arial" w:hAnsi="Arial"/>
          <w:color w:val="3A3F47"/>
          <w:sz w:val="20"/>
          <w:szCs w:val="20"/>
        </w:rPr>
        <w:t xml:space="preserve">, syarat &amp; ketentuan, dan kontak.</w:t>
      </w:r>
    </w:p>
    <w:p>
      <w:r>
        <w:br w:type="page"/>
      </w:r>
    </w:p>
    <w:p>
      <w:pPr>
        <w:spacing w:after="80" w:before="60"/>
      </w:pPr>
      <w:r>
        <w:rPr>
          <w:rFonts w:ascii="Arial" w:cs="Arial" w:eastAsia="Arial" w:hAnsi="Arial"/>
          <w:b/>
          <w:bCs/>
          <w:color w:val="C8A24A"/>
          <w:sz w:val="17"/>
          <w:szCs w:val="17"/>
        </w:rPr>
        <w:t xml:space="preserve">TENTANG PERUSAHAAN</w:t>
      </w:r>
    </w:p>
    <w:p>
      <w:pPr>
        <w:pStyle w:val="Heading1"/>
        <w:spacing w:after="200" w:before="40"/>
      </w:pPr>
      <w:r>
        <w:rPr>
          <w:rFonts w:ascii="Arial" w:cs="Arial" w:eastAsia="Arial" w:hAnsi="Arial"/>
          <w:b/>
          <w:bCs/>
          <w:color w:val="0B1F3A"/>
          <w:sz w:val="32"/>
          <w:szCs w:val="32"/>
        </w:rPr>
        <w:t xml:space="preserve">Profil PT Legalku Multi Digital</w:t>
      </w:r>
    </w:p>
    <w:p>
      <w:pPr>
        <w:spacing w:after="160"/>
        <w:jc w:val="both"/>
      </w:pPr>
      <w:r>
        <w:rPr>
          <w:rFonts w:ascii="Arial" w:cs="Arial" w:eastAsia="Arial" w:hAnsi="Arial"/>
          <w:color w:val="3A3F47"/>
          <w:sz w:val="20"/>
          <w:szCs w:val="20"/>
        </w:rPr>
        <w:t xml:space="preserve">PT Legalku Multi Digital didirikan sebagai perusahaan yang berkomitmen memberikan solusi legal dan operasional yang mudah diakses oleh masyarakat, pelaku UMKM, akademisi, hingga korporasi. Berkedudukan di Jl. Taman Flamboyan Raya No. 26, Pedurungan Lor, Kota Semarang, Jawa Tengah, perusahaan mengintegrasikan enam bidang usaha utama dalam satu grup usaha, termasuk LPK Hanggugo Indonesia yang berbasis di Banyuputih, Kabupaten Batang, Jawa Tengah.</w:t>
      </w:r>
    </w:p>
    <w:p>
      <w:pPr>
        <w:pStyle w:val="Heading2"/>
        <w:spacing w:after="120" w:before="220"/>
      </w:pPr>
      <w:r>
        <w:rPr>
          <w:rFonts w:ascii="Arial" w:cs="Arial" w:eastAsia="Arial" w:hAnsi="Arial"/>
          <w:b/>
          <w:bCs/>
          <w:color w:val="0B1F3A"/>
          <w:sz w:val="24"/>
          <w:szCs w:val="24"/>
        </w:rPr>
        <w:t xml:space="preserve">Legalitas Perusahaan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00"/>
        <w:gridCol w:w="6250"/>
      </w:tblGrid>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No. AHU</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0032243.AH.01.02.Tahun 2025</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NPWP</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1.000.0000.0187.7604</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NIB</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2804250030574</w:t>
            </w:r>
          </w:p>
        </w:tc>
      </w:tr>
    </w:tbl>
    <w:p>
      <w:pPr>
        <w:spacing w:after="160"/>
      </w:pPr>
    </w:p>
    <w:p>
      <w:pPr>
        <w:pStyle w:val="Heading2"/>
        <w:spacing w:after="120" w:before="220"/>
      </w:pPr>
      <w:r>
        <w:rPr>
          <w:rFonts w:ascii="Arial" w:cs="Arial" w:eastAsia="Arial" w:hAnsi="Arial"/>
          <w:b/>
          <w:bCs/>
          <w:color w:val="0B1F3A"/>
          <w:sz w:val="24"/>
          <w:szCs w:val="24"/>
        </w:rPr>
        <w:t xml:space="preserve">Struktur Organisasi</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00"/>
        <w:gridCol w:w="6250"/>
      </w:tblGrid>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Direktur Utama</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HM. Asrori, S.H., M.H.</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Wakil Direktur</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Teguh Santoso, S.H., M.M.</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Komisaris</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Febryan Alam Susatyo, S.H., M.H.</w:t>
            </w:r>
          </w:p>
        </w:tc>
      </w:tr>
    </w:tbl>
    <w:p>
      <w:pPr>
        <w:spacing w:after="160"/>
      </w:pPr>
    </w:p>
    <w:p>
      <w:pPr>
        <w:pStyle w:val="Heading2"/>
        <w:spacing w:after="120" w:before="220"/>
      </w:pPr>
      <w:r>
        <w:rPr>
          <w:rFonts w:ascii="Arial" w:cs="Arial" w:eastAsia="Arial" w:hAnsi="Arial"/>
          <w:b/>
          <w:bCs/>
          <w:color w:val="0B1F3A"/>
          <w:sz w:val="24"/>
          <w:szCs w:val="24"/>
        </w:rPr>
        <w:t xml:space="preserve">Ekosistem Digital Kami</w:t>
      </w:r>
    </w:p>
    <w:p>
      <w:pPr>
        <w:spacing w:after="160"/>
      </w:pPr>
      <w:r>
        <w:rPr>
          <w:rFonts w:ascii="Arial" w:cs="Arial" w:eastAsia="Arial" w:hAnsi="Arial"/>
          <w:color w:val="3A3F47"/>
          <w:sz w:val="20"/>
          <w:szCs w:val="20"/>
        </w:rPr>
        <w:t xml:space="preserve">Selain situs utama www.legalku.org, setiap divisi memiliki kanal digital tersendiri untuk melayani kliennya: www.asrorilawyer.or.id (Jasa Hukum), www.legalku.or.id (Perizinan Usaha), www.legalkupress.com (Penerbitan Buku &amp; Jurnal), www.quarentine.id (Air Mineral Quarentine), Aplikasi Legalku (Google Play Store), dan lpkhanggugo.com (LPK Bahasa Korea &amp; Jepang).</w:t>
      </w:r>
    </w:p>
    <w:p>
      <w:r>
        <w:br w:type="page"/>
      </w:r>
    </w:p>
    <w:p>
      <w:pPr>
        <w:pStyle w:val="Heading2"/>
        <w:spacing w:after="120" w:before="220"/>
      </w:pPr>
      <w:r>
        <w:rPr>
          <w:rFonts w:ascii="Arial" w:cs="Arial" w:eastAsia="Arial" w:hAnsi="Arial"/>
          <w:b/>
          <w:bCs/>
          <w:color w:val="0B1F3A"/>
          <w:sz w:val="24"/>
          <w:szCs w:val="24"/>
        </w:rPr>
        <w:t xml:space="preserve">Visi</w:t>
      </w:r>
    </w:p>
    <w:p>
      <w:pPr>
        <w:pBdr>
          <w:left w:val="single" w:color="C8A24A" w:sz="24" w:space="8"/>
        </w:pBdr>
        <w:spacing w:after="160" w:before="100"/>
        <w:ind w:left="300"/>
      </w:pPr>
      <w:r>
        <w:rPr>
          <w:rFonts w:ascii="Arial" w:cs="Arial" w:eastAsia="Arial" w:hAnsi="Arial"/>
          <w:i/>
          <w:iCs/>
          <w:color w:val="0B1F3A"/>
          <w:sz w:val="22"/>
          <w:szCs w:val="22"/>
        </w:rPr>
        <w:t xml:space="preserve">“Menjadi perusahaan multi-usaha terpercaya di Indonesia yang unggul dalam layanan hukum, perizinan, penerbitan, dan produk konsumen yang legal, berkualitas, dan berorientasi pada kepuasan klien.”</w:t>
      </w:r>
    </w:p>
    <w:p>
      <w:pPr>
        <w:pStyle w:val="Heading2"/>
        <w:spacing w:after="120" w:before="220"/>
      </w:pPr>
      <w:r>
        <w:rPr>
          <w:rFonts w:ascii="Arial" w:cs="Arial" w:eastAsia="Arial" w:hAnsi="Arial"/>
          <w:b/>
          <w:bCs/>
          <w:color w:val="0B1F3A"/>
          <w:sz w:val="24"/>
          <w:szCs w:val="24"/>
        </w:rPr>
        <w:t xml:space="preserve">Misi</w:t>
      </w:r>
    </w:p>
    <w:p>
      <w:pPr>
        <w:pStyle w:val="ListParagraph"/>
        <w:numPr>
          <w:ilvl w:val="0"/>
          <w:numId w:val="1"/>
        </w:numPr>
        <w:spacing w:after="90"/>
      </w:pPr>
      <w:r>
        <w:rPr>
          <w:rFonts w:ascii="Arial" w:cs="Arial" w:eastAsia="Arial" w:hAnsi="Arial"/>
          <w:color w:val="3A3F47"/>
          <w:sz w:val="20"/>
          <w:szCs w:val="20"/>
        </w:rPr>
        <w:t xml:space="preserve">Memberikan layanan hukum dan perizinan yang transparan, cepat, dan sesuai regulasi.</w:t>
      </w:r>
    </w:p>
    <w:p>
      <w:pPr>
        <w:pStyle w:val="ListParagraph"/>
        <w:numPr>
          <w:ilvl w:val="0"/>
          <w:numId w:val="1"/>
        </w:numPr>
        <w:spacing w:after="90"/>
      </w:pPr>
      <w:r>
        <w:rPr>
          <w:rFonts w:ascii="Arial" w:cs="Arial" w:eastAsia="Arial" w:hAnsi="Arial"/>
          <w:color w:val="3A3F47"/>
          <w:sz w:val="20"/>
          <w:szCs w:val="20"/>
        </w:rPr>
        <w:t xml:space="preserve">Mendukung publikasi ilmiah dan literasi melalui penerbitan buku &amp; jurnal ber-ISBN.</w:t>
      </w:r>
    </w:p>
    <w:p>
      <w:pPr>
        <w:pStyle w:val="ListParagraph"/>
        <w:numPr>
          <w:ilvl w:val="0"/>
          <w:numId w:val="1"/>
        </w:numPr>
        <w:spacing w:after="90"/>
      </w:pPr>
      <w:r>
        <w:rPr>
          <w:rFonts w:ascii="Arial" w:cs="Arial" w:eastAsia="Arial" w:hAnsi="Arial"/>
          <w:color w:val="3A3F47"/>
          <w:sz w:val="20"/>
          <w:szCs w:val="20"/>
        </w:rPr>
        <w:t xml:space="preserve">Menyediakan produk air mineral yang higienis dan memenuhi standar keamanan pangan.</w:t>
      </w:r>
    </w:p>
    <w:p>
      <w:pPr>
        <w:pStyle w:val="ListParagraph"/>
        <w:numPr>
          <w:ilvl w:val="0"/>
          <w:numId w:val="1"/>
        </w:numPr>
        <w:spacing w:after="90"/>
      </w:pPr>
      <w:r>
        <w:rPr>
          <w:rFonts w:ascii="Arial" w:cs="Arial" w:eastAsia="Arial" w:hAnsi="Arial"/>
          <w:color w:val="3A3F47"/>
          <w:sz w:val="20"/>
          <w:szCs w:val="20"/>
        </w:rPr>
        <w:t xml:space="preserve">Membuka jalur pendidikan bahasa &amp; kerja luar negeri yang legal, aman, dan terpercaya melalui LPK Hanggugo Indonesia.</w:t>
      </w:r>
    </w:p>
    <w:p>
      <w:pPr>
        <w:pStyle w:val="ListParagraph"/>
        <w:numPr>
          <w:ilvl w:val="0"/>
          <w:numId w:val="1"/>
        </w:numPr>
        <w:spacing w:after="90"/>
      </w:pPr>
      <w:r>
        <w:rPr>
          <w:rFonts w:ascii="Arial" w:cs="Arial" w:eastAsia="Arial" w:hAnsi="Arial"/>
          <w:color w:val="3A3F47"/>
          <w:sz w:val="20"/>
          <w:szCs w:val="20"/>
        </w:rPr>
        <w:t xml:space="preserve">Membangun hubungan jangka panjang dengan klien berbasis kepercayaan dan integritas.</w:t>
      </w:r>
    </w:p>
    <w:p>
      <w:pPr>
        <w:spacing w:after="120"/>
      </w:pPr>
    </w:p>
    <w:p>
      <w:pPr>
        <w:pStyle w:val="Heading2"/>
        <w:spacing w:after="120" w:before="220"/>
      </w:pPr>
      <w:r>
        <w:rPr>
          <w:rFonts w:ascii="Arial" w:cs="Arial" w:eastAsia="Arial" w:hAnsi="Arial"/>
          <w:b/>
          <w:bCs/>
          <w:color w:val="0B1F3A"/>
          <w:sz w:val="24"/>
          <w:szCs w:val="24"/>
        </w:rPr>
        <w:t xml:space="preserve">Nilai Perusahaan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75"/>
        <w:gridCol w:w="4675"/>
      </w:tblGrid>
      <w:tr>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Integritas</w:t>
            </w:r>
          </w:p>
          <w:p>
            <w:r>
              <w:rPr>
                <w:rFonts w:ascii="Arial" w:cs="Arial" w:eastAsia="Arial" w:hAnsi="Arial"/>
                <w:color w:val="3A3F47"/>
                <w:sz w:val="18"/>
                <w:szCs w:val="18"/>
              </w:rPr>
              <w:t xml:space="preserve">Setiap layanan dijalankan sesuai hukum dan etika bisnis yang berlaku.</w:t>
            </w:r>
          </w:p>
        </w:tc>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Transparansi</w:t>
            </w:r>
          </w:p>
          <w:p>
            <w:r>
              <w:rPr>
                <w:rFonts w:ascii="Arial" w:cs="Arial" w:eastAsia="Arial" w:hAnsi="Arial"/>
                <w:color w:val="3A3F47"/>
                <w:sz w:val="18"/>
                <w:szCs w:val="18"/>
              </w:rPr>
              <w:t xml:space="preserve">Biaya, waktu pengerjaan, dan tahapan proses disampaikan secara jelas sejak awal.</w:t>
            </w:r>
          </w:p>
        </w:tc>
      </w:tr>
      <w:tr>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Responsif</w:t>
            </w:r>
          </w:p>
          <w:p>
            <w:r>
              <w:rPr>
                <w:rFonts w:ascii="Arial" w:cs="Arial" w:eastAsia="Arial" w:hAnsi="Arial"/>
                <w:color w:val="3A3F47"/>
                <w:sz w:val="18"/>
                <w:szCs w:val="18"/>
              </w:rPr>
              <w:t xml:space="preserve">Tim kami sigap merespons kebutuhan dan pertanyaan klien.</w:t>
            </w:r>
          </w:p>
        </w:tc>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Kualitas</w:t>
            </w:r>
          </w:p>
          <w:p>
            <w:r>
              <w:rPr>
                <w:rFonts w:ascii="Arial" w:cs="Arial" w:eastAsia="Arial" w:hAnsi="Arial"/>
                <w:color w:val="3A3F47"/>
                <w:sz w:val="18"/>
                <w:szCs w:val="18"/>
              </w:rPr>
              <w:t xml:space="preserve">Standar kerja profesional diterapkan di seluruh lini bisnis, dari dokumen hukum hingga produk air mineral.</w:t>
            </w:r>
          </w:p>
        </w:tc>
      </w:tr>
    </w:tbl>
    <w:p>
      <w:r>
        <w:br w:type="page"/>
      </w:r>
    </w:p>
    <w:p>
      <w:pPr>
        <w:spacing w:after="80" w:before="60"/>
      </w:pPr>
      <w:r>
        <w:rPr>
          <w:rFonts w:ascii="Arial" w:cs="Arial" w:eastAsia="Arial" w:hAnsi="Arial"/>
          <w:b/>
          <w:bCs/>
          <w:color w:val="C8A24A"/>
          <w:sz w:val="17"/>
          <w:szCs w:val="17"/>
        </w:rPr>
        <w:t xml:space="preserve">NILAI BAGI MITRA &amp; INVESTOR</w:t>
      </w:r>
    </w:p>
    <w:p>
      <w:pPr>
        <w:spacing w:after="220"/>
      </w:pPr>
      <w:r>
        <w:drawing>
          <wp:inline distT="0" distB="0" distL="0" distR="0">
            <wp:extent cx="5905500" cy="1495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1495425"/>
                    </a:xfrm>
                    <a:prstGeom prst="rect">
                      <a:avLst/>
                    </a:prstGeom>
                  </pic:spPr>
                </pic:pic>
              </a:graphicData>
            </a:graphic>
          </wp:inline>
        </w:drawing>
      </w:r>
    </w:p>
    <w:p>
      <w:pPr>
        <w:pStyle w:val="Heading1"/>
        <w:spacing w:after="200" w:before="40"/>
      </w:pPr>
      <w:r>
        <w:rPr>
          <w:rFonts w:ascii="Arial" w:cs="Arial" w:eastAsia="Arial" w:hAnsi="Arial"/>
          <w:b/>
          <w:bCs/>
          <w:color w:val="0B1F3A"/>
          <w:sz w:val="32"/>
          <w:szCs w:val="32"/>
        </w:rPr>
        <w:t xml:space="preserve">Mengapa Bermitra dengan Kami</w:t>
      </w:r>
    </w:p>
    <w:p>
      <w:pPr>
        <w:spacing w:after="160"/>
        <w:jc w:val="both"/>
      </w:pPr>
      <w:r>
        <w:rPr>
          <w:rFonts w:ascii="Arial" w:cs="Arial" w:eastAsia="Arial" w:hAnsi="Arial"/>
          <w:color w:val="3A3F47"/>
          <w:sz w:val="20"/>
          <w:szCs w:val="20"/>
        </w:rPr>
        <w:t xml:space="preserve">Bermitra atau berinvestasi bersama PT Legalku Multi Digital berarti bergabung dengan ekosistem usaha yang menjalankan enam lini bisnis yang saling terhubung. Berikut sejumlah keuntungan utama yang kami tawarkan kepada mitra dan investor kami.</w:t>
      </w:r>
    </w:p>
    <w:p>
      <w:pPr>
        <w:spacing w:after="12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16"/>
        <w:gridCol w:w="3116"/>
        <w:gridCol w:w="3116"/>
      </w:tblGrid>
      <w:tr>
        <w:tc>
          <w:tcPr>
            <w:tcW w:type="dxa" w:w="3116"/>
            <w:tcBorders>
              <w:top w:val="single" w:color="E6E6E3" w:sz="2"/>
              <w:left w:val="single" w:color="E6E6E3" w:sz="2"/>
              <w:bottom w:val="single" w:color="E6E6E3" w:sz="2"/>
              <w:right w:val="single" w:color="E6E6E3" w:sz="2"/>
            </w:tcBorders>
            <w:shd w:fill="FBFBFA" w:val="clear"/>
            <w:tcMar>
              <w:top w:type="dxa" w:w="160"/>
              <w:left w:type="dxa" w:w="160"/>
              <w:bottom w:type="dxa" w:w="160"/>
              <w:right w:type="dxa" w:w="160"/>
            </w:tcMar>
          </w:tcPr>
          <w:p>
            <w:pPr>
              <w:spacing w:after="90"/>
              <w:jc w:val="center"/>
            </w:pPr>
            <w:r>
              <w:drawing>
                <wp:inline distT="0" distB="0" distL="0" distR="0">
                  <wp:extent cx="4381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38150" cy="438150"/>
                          </a:xfrm>
                          <a:prstGeom prst="rect">
                            <a:avLst/>
                          </a:prstGeom>
                        </pic:spPr>
                      </pic:pic>
                    </a:graphicData>
                  </a:graphic>
                </wp:inline>
              </w:drawing>
            </w:r>
          </w:p>
          <w:p>
            <w:pPr>
              <w:spacing w:after="50"/>
              <w:jc w:val="center"/>
            </w:pPr>
            <w:r>
              <w:rPr>
                <w:rFonts w:ascii="Arial" w:cs="Arial" w:eastAsia="Arial" w:hAnsi="Arial"/>
                <w:b/>
                <w:bCs/>
                <w:color w:val="0B1F3A"/>
                <w:sz w:val="18"/>
                <w:szCs w:val="18"/>
              </w:rPr>
              <w:t xml:space="preserve">Potensi Pertumbuhan Sektor Tinggi</w:t>
            </w:r>
          </w:p>
          <w:p>
            <w:pPr>
              <w:jc w:val="center"/>
            </w:pPr>
            <w:r>
              <w:rPr>
                <w:rFonts w:ascii="Arial" w:cs="Arial" w:eastAsia="Arial" w:hAnsi="Arial"/>
                <w:color w:val="3A3F47"/>
                <w:sz w:val="16"/>
                <w:szCs w:val="16"/>
              </w:rPr>
              <w:t xml:space="preserve">Setiap lini usaha bergerak di sektor berpermintaan besar dengan tren pertumbuhan positif di Indonesia (lihat bagian Peluang Pasar).</w:t>
            </w:r>
          </w:p>
        </w:tc>
        <w:tc>
          <w:tcPr>
            <w:tcW w:type="dxa" w:w="3116"/>
            <w:tcBorders>
              <w:top w:val="single" w:color="E6E6E3" w:sz="2"/>
              <w:left w:val="single" w:color="E6E6E3" w:sz="2"/>
              <w:bottom w:val="single" w:color="E6E6E3" w:sz="2"/>
              <w:right w:val="single" w:color="E6E6E3" w:sz="2"/>
            </w:tcBorders>
            <w:shd w:fill="FBFBFA" w:val="clear"/>
            <w:tcMar>
              <w:top w:type="dxa" w:w="160"/>
              <w:left w:type="dxa" w:w="160"/>
              <w:bottom w:type="dxa" w:w="160"/>
              <w:right w:type="dxa" w:w="160"/>
            </w:tcMar>
          </w:tcPr>
          <w:p>
            <w:pPr>
              <w:spacing w:after="90"/>
              <w:jc w:val="center"/>
            </w:pPr>
            <w:r>
              <w:drawing>
                <wp:inline distT="0" distB="0" distL="0" distR="0">
                  <wp:extent cx="4381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38150" cy="438150"/>
                          </a:xfrm>
                          <a:prstGeom prst="rect">
                            <a:avLst/>
                          </a:prstGeom>
                        </pic:spPr>
                      </pic:pic>
                    </a:graphicData>
                  </a:graphic>
                </wp:inline>
              </w:drawing>
            </w:r>
          </w:p>
          <w:p>
            <w:pPr>
              <w:spacing w:after="50"/>
              <w:jc w:val="center"/>
            </w:pPr>
            <w:r>
              <w:rPr>
                <w:rFonts w:ascii="Arial" w:cs="Arial" w:eastAsia="Arial" w:hAnsi="Arial"/>
                <w:b/>
                <w:bCs/>
                <w:color w:val="0B1F3A"/>
                <w:sz w:val="18"/>
                <w:szCs w:val="18"/>
              </w:rPr>
              <w:t xml:space="preserve">Skema Kemitraan Fleksibel</w:t>
            </w:r>
          </w:p>
          <w:p>
            <w:pPr>
              <w:jc w:val="center"/>
            </w:pPr>
            <w:r>
              <w:rPr>
                <w:rFonts w:ascii="Arial" w:cs="Arial" w:eastAsia="Arial" w:hAnsi="Arial"/>
                <w:color w:val="3A3F47"/>
                <w:sz w:val="16"/>
                <w:szCs w:val="16"/>
              </w:rPr>
              <w:t xml:space="preserve">Bentuk kerja sama dapat disesuaikan — bagi hasil, penyertaan modal, atau kerja sama proyek — dengan kesepakatan tertulis yang jelas sejak awal.</w:t>
            </w:r>
          </w:p>
        </w:tc>
        <w:tc>
          <w:tcPr>
            <w:tcW w:type="dxa" w:w="3116"/>
            <w:tcBorders>
              <w:top w:val="single" w:color="E6E6E3" w:sz="2"/>
              <w:left w:val="single" w:color="E6E6E3" w:sz="2"/>
              <w:bottom w:val="single" w:color="E6E6E3" w:sz="2"/>
              <w:right w:val="single" w:color="E6E6E3" w:sz="2"/>
            </w:tcBorders>
            <w:shd w:fill="FBFBFA" w:val="clear"/>
            <w:tcMar>
              <w:top w:type="dxa" w:w="160"/>
              <w:left w:type="dxa" w:w="160"/>
              <w:bottom w:type="dxa" w:w="160"/>
              <w:right w:type="dxa" w:w="160"/>
            </w:tcMar>
          </w:tcPr>
          <w:p>
            <w:pPr>
              <w:spacing w:after="90"/>
              <w:jc w:val="center"/>
            </w:pPr>
            <w:r>
              <w:drawing>
                <wp:inline distT="0" distB="0" distL="0" distR="0">
                  <wp:extent cx="4381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38150" cy="438150"/>
                          </a:xfrm>
                          <a:prstGeom prst="rect">
                            <a:avLst/>
                          </a:prstGeom>
                        </pic:spPr>
                      </pic:pic>
                    </a:graphicData>
                  </a:graphic>
                </wp:inline>
              </w:drawing>
            </w:r>
          </w:p>
          <w:p>
            <w:pPr>
              <w:spacing w:after="50"/>
              <w:jc w:val="center"/>
            </w:pPr>
            <w:r>
              <w:rPr>
                <w:rFonts w:ascii="Arial" w:cs="Arial" w:eastAsia="Arial" w:hAnsi="Arial"/>
                <w:b/>
                <w:bCs/>
                <w:color w:val="0B1F3A"/>
                <w:sz w:val="18"/>
                <w:szCs w:val="18"/>
              </w:rPr>
              <w:t xml:space="preserve">Legalitas &amp; Perlindungan Hukum</w:t>
            </w:r>
          </w:p>
          <w:p>
            <w:pPr>
              <w:jc w:val="center"/>
            </w:pPr>
            <w:r>
              <w:rPr>
                <w:rFonts w:ascii="Arial" w:cs="Arial" w:eastAsia="Arial" w:hAnsi="Arial"/>
                <w:color w:val="3A3F47"/>
                <w:sz w:val="16"/>
                <w:szCs w:val="16"/>
              </w:rPr>
              <w:t xml:space="preserve">Kerja sama investasi dinaungi badan hukum resmi PT Legalku Multi Digital dan dituangkan dalam perjanjian yang sah secara hukum.</w:t>
            </w:r>
          </w:p>
        </w:tc>
      </w:tr>
      <w:tr>
        <w:tc>
          <w:tcPr>
            <w:tcW w:type="dxa" w:w="3116"/>
            <w:tcBorders>
              <w:top w:val="single" w:color="E6E6E3" w:sz="2"/>
              <w:left w:val="single" w:color="E6E6E3" w:sz="2"/>
              <w:bottom w:val="single" w:color="E6E6E3" w:sz="2"/>
              <w:right w:val="single" w:color="E6E6E3" w:sz="2"/>
            </w:tcBorders>
            <w:shd w:fill="FBFBFA" w:val="clear"/>
            <w:tcMar>
              <w:top w:type="dxa" w:w="160"/>
              <w:left w:type="dxa" w:w="160"/>
              <w:bottom w:type="dxa" w:w="160"/>
              <w:right w:type="dxa" w:w="160"/>
            </w:tcMar>
          </w:tcPr>
          <w:p>
            <w:pPr>
              <w:spacing w:after="90"/>
              <w:jc w:val="center"/>
            </w:pPr>
            <w:r>
              <w:drawing>
                <wp:inline distT="0" distB="0" distL="0" distR="0">
                  <wp:extent cx="4381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38150" cy="438150"/>
                          </a:xfrm>
                          <a:prstGeom prst="rect">
                            <a:avLst/>
                          </a:prstGeom>
                        </pic:spPr>
                      </pic:pic>
                    </a:graphicData>
                  </a:graphic>
                </wp:inline>
              </w:drawing>
            </w:r>
          </w:p>
          <w:p>
            <w:pPr>
              <w:spacing w:after="50"/>
              <w:jc w:val="center"/>
            </w:pPr>
            <w:r>
              <w:rPr>
                <w:rFonts w:ascii="Arial" w:cs="Arial" w:eastAsia="Arial" w:hAnsi="Arial"/>
                <w:b/>
                <w:bCs/>
                <w:color w:val="0B1F3A"/>
                <w:sz w:val="18"/>
                <w:szCs w:val="18"/>
              </w:rPr>
              <w:t xml:space="preserve">Transparansi &amp; Laporan Berkala</w:t>
            </w:r>
          </w:p>
          <w:p>
            <w:pPr>
              <w:jc w:val="center"/>
            </w:pPr>
            <w:r>
              <w:rPr>
                <w:rFonts w:ascii="Arial" w:cs="Arial" w:eastAsia="Arial" w:hAnsi="Arial"/>
                <w:color w:val="3A3F47"/>
                <w:sz w:val="16"/>
                <w:szCs w:val="16"/>
              </w:rPr>
              <w:t xml:space="preserve">Mitra/investor menerima laporan perkembangan usaha secara berkala sebagai bentuk akuntabilitas dan dasar pengambilan keputusan.</w:t>
            </w:r>
          </w:p>
        </w:tc>
        <w:tc>
          <w:tcPr>
            <w:tcW w:type="dxa" w:w="3116"/>
            <w:tcBorders>
              <w:top w:val="single" w:color="E6E6E3" w:sz="2"/>
              <w:left w:val="single" w:color="E6E6E3" w:sz="2"/>
              <w:bottom w:val="single" w:color="E6E6E3" w:sz="2"/>
              <w:right w:val="single" w:color="E6E6E3" w:sz="2"/>
            </w:tcBorders>
            <w:shd w:fill="FBFBFA" w:val="clear"/>
            <w:tcMar>
              <w:top w:type="dxa" w:w="160"/>
              <w:left w:type="dxa" w:w="160"/>
              <w:bottom w:type="dxa" w:w="160"/>
              <w:right w:type="dxa" w:w="160"/>
            </w:tcMar>
          </w:tcPr>
          <w:p>
            <w:pPr>
              <w:spacing w:after="90"/>
              <w:jc w:val="center"/>
            </w:pPr>
            <w:r>
              <w:drawing>
                <wp:inline distT="0" distB="0" distL="0" distR="0">
                  <wp:extent cx="4381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38150" cy="438150"/>
                          </a:xfrm>
                          <a:prstGeom prst="rect">
                            <a:avLst/>
                          </a:prstGeom>
                        </pic:spPr>
                      </pic:pic>
                    </a:graphicData>
                  </a:graphic>
                </wp:inline>
              </w:drawing>
            </w:r>
          </w:p>
          <w:p>
            <w:pPr>
              <w:spacing w:after="50"/>
              <w:jc w:val="center"/>
            </w:pPr>
            <w:r>
              <w:rPr>
                <w:rFonts w:ascii="Arial" w:cs="Arial" w:eastAsia="Arial" w:hAnsi="Arial"/>
                <w:b/>
                <w:bCs/>
                <w:color w:val="0B1F3A"/>
                <w:sz w:val="18"/>
                <w:szCs w:val="18"/>
              </w:rPr>
              <w:t xml:space="preserve">Akses ke Ekosistem 6 Lini Usaha</w:t>
            </w:r>
          </w:p>
          <w:p>
            <w:pPr>
              <w:jc w:val="center"/>
            </w:pPr>
            <w:r>
              <w:rPr>
                <w:rFonts w:ascii="Arial" w:cs="Arial" w:eastAsia="Arial" w:hAnsi="Arial"/>
                <w:color w:val="3A3F47"/>
                <w:sz w:val="16"/>
                <w:szCs w:val="16"/>
              </w:rPr>
              <w:t xml:space="preserve">Sinergi lintas divisi membuka peluang cross-selling dan efisiensi biaya bagi mitra maupun klien.</w:t>
            </w:r>
          </w:p>
        </w:tc>
        <w:tc>
          <w:tcPr>
            <w:tcW w:type="dxa" w:w="3116"/>
            <w:tcBorders>
              <w:top w:val="single" w:color="E6E6E3" w:sz="2"/>
              <w:left w:val="single" w:color="E6E6E3" w:sz="2"/>
              <w:bottom w:val="single" w:color="E6E6E3" w:sz="2"/>
              <w:right w:val="single" w:color="E6E6E3" w:sz="2"/>
            </w:tcBorders>
            <w:shd w:fill="FBFBFA" w:val="clear"/>
            <w:tcMar>
              <w:top w:type="dxa" w:w="160"/>
              <w:left w:type="dxa" w:w="160"/>
              <w:bottom w:type="dxa" w:w="160"/>
              <w:right w:type="dxa" w:w="160"/>
            </w:tcMar>
          </w:tcPr>
          <w:p>
            <w:pPr>
              <w:spacing w:after="90"/>
              <w:jc w:val="center"/>
            </w:pPr>
            <w:r>
              <w:drawing>
                <wp:inline distT="0" distB="0" distL="0" distR="0">
                  <wp:extent cx="4381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38150" cy="438150"/>
                          </a:xfrm>
                          <a:prstGeom prst="rect">
                            <a:avLst/>
                          </a:prstGeom>
                        </pic:spPr>
                      </pic:pic>
                    </a:graphicData>
                  </a:graphic>
                </wp:inline>
              </w:drawing>
            </w:r>
          </w:p>
          <w:p>
            <w:pPr>
              <w:spacing w:after="50"/>
              <w:jc w:val="center"/>
            </w:pPr>
            <w:r>
              <w:rPr>
                <w:rFonts w:ascii="Arial" w:cs="Arial" w:eastAsia="Arial" w:hAnsi="Arial"/>
                <w:b/>
                <w:bCs/>
                <w:color w:val="0B1F3A"/>
                <w:sz w:val="18"/>
                <w:szCs w:val="18"/>
              </w:rPr>
              <w:t xml:space="preserve">Pendampingan Langsung Tim Manajemen</w:t>
            </w:r>
          </w:p>
          <w:p>
            <w:pPr>
              <w:jc w:val="center"/>
            </w:pPr>
            <w:r>
              <w:rPr>
                <w:rFonts w:ascii="Arial" w:cs="Arial" w:eastAsia="Arial" w:hAnsi="Arial"/>
                <w:color w:val="3A3F47"/>
                <w:sz w:val="16"/>
                <w:szCs w:val="16"/>
              </w:rPr>
              <w:t xml:space="preserve">Komunikasi terbuka dengan manajemen untuk konsultasi rutin dan pengambilan keputusan strategis bersama.</w:t>
            </w:r>
          </w:p>
        </w:tc>
      </w:tr>
    </w:tbl>
    <w:p>
      <w:pPr>
        <w:spacing w:after="180"/>
      </w:pPr>
    </w:p>
    <w:p>
      <w:pPr>
        <w:pStyle w:val="Heading2"/>
        <w:spacing w:after="120" w:before="220"/>
      </w:pPr>
      <w:r>
        <w:rPr>
          <w:rFonts w:ascii="Arial" w:cs="Arial" w:eastAsia="Arial" w:hAnsi="Arial"/>
          <w:b/>
          <w:bCs/>
          <w:color w:val="0B1F3A"/>
          <w:sz w:val="24"/>
          <w:szCs w:val="24"/>
        </w:rPr>
        <w:t xml:space="preserve">Kredibilitas &amp; Keamanan Berinvestasi</w:t>
      </w:r>
    </w:p>
    <w:p>
      <w:pPr>
        <w:spacing w:after="60" w:before="140"/>
      </w:pPr>
      <w:r>
        <w:rPr>
          <w:rFonts w:ascii="Arial" w:cs="Arial" w:eastAsia="Arial" w:hAnsi="Arial"/>
          <w:b/>
          <w:bCs/>
          <w:color w:val="0B1F3A"/>
          <w:sz w:val="21"/>
          <w:szCs w:val="21"/>
        </w:rPr>
        <w:t xml:space="preserve">Kredibilitas Perusahaan</w:t>
      </w:r>
    </w:p>
    <w:p>
      <w:pPr>
        <w:pStyle w:val="ListParagraph"/>
        <w:numPr>
          <w:ilvl w:val="0"/>
          <w:numId w:val="1"/>
        </w:numPr>
        <w:spacing w:after="90"/>
      </w:pPr>
      <w:r>
        <w:rPr>
          <w:rFonts w:ascii="Arial" w:cs="Arial" w:eastAsia="Arial" w:hAnsi="Arial"/>
          <w:color w:val="3A3F47"/>
          <w:sz w:val="20"/>
          <w:szCs w:val="20"/>
        </w:rPr>
        <w:t xml:space="preserve">Berbadan hukum resmi Perseroan Terbatas (PT) dengan legalitas AHU, NPWP, dan NIB yang aktif.</w:t>
      </w:r>
    </w:p>
    <w:p>
      <w:pPr>
        <w:pStyle w:val="ListParagraph"/>
        <w:numPr>
          <w:ilvl w:val="0"/>
          <w:numId w:val="1"/>
        </w:numPr>
        <w:spacing w:after="90"/>
      </w:pPr>
      <w:r>
        <w:rPr>
          <w:rFonts w:ascii="Arial" w:cs="Arial" w:eastAsia="Arial" w:hAnsi="Arial"/>
          <w:color w:val="3A3F47"/>
          <w:sz w:val="20"/>
          <w:szCs w:val="20"/>
        </w:rPr>
        <w:t xml:space="preserve">Dipimpin oleh struktur organisasi yang jelas — Direktur Utama, Wakil Direktur, dan Komisaris — dengan latar belakang hukum yang relevan dengan bidang usaha.</w:t>
      </w:r>
    </w:p>
    <w:p>
      <w:pPr>
        <w:pStyle w:val="ListParagraph"/>
        <w:numPr>
          <w:ilvl w:val="0"/>
          <w:numId w:val="1"/>
        </w:numPr>
        <w:spacing w:after="90"/>
      </w:pPr>
      <w:r>
        <w:rPr>
          <w:rFonts w:ascii="Arial" w:cs="Arial" w:eastAsia="Arial" w:hAnsi="Arial"/>
          <w:color w:val="3A3F47"/>
          <w:sz w:val="20"/>
          <w:szCs w:val="20"/>
        </w:rPr>
        <w:t xml:space="preserve">Menjalankan enam lini bisnis yang saling terhubung, sehingga risiko usaha lebih terdiversifikasi dibanding bisnis tunggal.</w:t>
      </w:r>
    </w:p>
    <w:p>
      <w:pPr>
        <w:pStyle w:val="ListParagraph"/>
        <w:numPr>
          <w:ilvl w:val="0"/>
          <w:numId w:val="1"/>
        </w:numPr>
        <w:spacing w:after="90"/>
      </w:pPr>
      <w:r>
        <w:rPr>
          <w:rFonts w:ascii="Arial" w:cs="Arial" w:eastAsia="Arial" w:hAnsi="Arial"/>
          <w:color w:val="3A3F47"/>
          <w:sz w:val="20"/>
          <w:szCs w:val="20"/>
        </w:rPr>
        <w:t xml:space="preserve">Beroperasi dari kantor tetap di Semarang, Jawa Tengah, dengan kontak resmi yang dapat dihubungi langsung oleh calon klien, mitra, dan investor.</w:t>
      </w:r>
    </w:p>
    <w:p>
      <w:pPr>
        <w:spacing w:after="60" w:before="140"/>
      </w:pPr>
      <w:r>
        <w:rPr>
          <w:rFonts w:ascii="Arial" w:cs="Arial" w:eastAsia="Arial" w:hAnsi="Arial"/>
          <w:b/>
          <w:bCs/>
          <w:color w:val="0B1F3A"/>
          <w:sz w:val="21"/>
          <w:szCs w:val="21"/>
        </w:rPr>
        <w:t xml:space="preserve">Keamanan Berinvestasi</w:t>
      </w:r>
    </w:p>
    <w:p>
      <w:pPr>
        <w:pStyle w:val="ListParagraph"/>
        <w:numPr>
          <w:ilvl w:val="0"/>
          <w:numId w:val="1"/>
        </w:numPr>
        <w:spacing w:after="90"/>
      </w:pPr>
      <w:r>
        <w:rPr>
          <w:rFonts w:ascii="Arial" w:cs="Arial" w:eastAsia="Arial" w:hAnsi="Arial"/>
          <w:color w:val="3A3F47"/>
          <w:sz w:val="20"/>
          <w:szCs w:val="20"/>
        </w:rPr>
        <w:t xml:space="preserve">Setiap kerja sama kemitraan atau investasi dituangkan dalam perjanjian tertulis (MoU/kontrak kerja sama) yang mengatur hak, kewajiban, dan mekanisme pelaporan kedua belah pihak.</w:t>
      </w:r>
    </w:p>
    <w:p>
      <w:pPr>
        <w:pStyle w:val="ListParagraph"/>
        <w:numPr>
          <w:ilvl w:val="0"/>
          <w:numId w:val="1"/>
        </w:numPr>
        <w:spacing w:after="90"/>
      </w:pPr>
      <w:r>
        <w:rPr>
          <w:rFonts w:ascii="Arial" w:cs="Arial" w:eastAsia="Arial" w:hAnsi="Arial"/>
          <w:color w:val="3A3F47"/>
          <w:sz w:val="20"/>
          <w:szCs w:val="20"/>
        </w:rPr>
        <w:t xml:space="preserve">Pengelolaan masing-masing lini usaha mengikuti regulasi yang berlaku di bidangnya (ketentuan advokat, perizinan OSS, standar penerbitan, legalitas produk pangan/BPOM, serta regulasi penempatan kerja luar negeri).</w:t>
      </w:r>
    </w:p>
    <w:p>
      <w:pPr>
        <w:pStyle w:val="ListParagraph"/>
        <w:numPr>
          <w:ilvl w:val="0"/>
          <w:numId w:val="1"/>
        </w:numPr>
        <w:spacing w:after="90"/>
      </w:pPr>
      <w:r>
        <w:rPr>
          <w:rFonts w:ascii="Arial" w:cs="Arial" w:eastAsia="Arial" w:hAnsi="Arial"/>
          <w:color w:val="3A3F47"/>
          <w:sz w:val="20"/>
          <w:szCs w:val="20"/>
        </w:rPr>
        <w:t xml:space="preserve">Transparansi informasi perkembangan usaha disampaikan secara berkala kepada mitra/investor sesuai kesepakatan dalam perjanjian kerja sama.</w:t>
      </w:r>
    </w:p>
    <w:p>
      <w:pPr>
        <w:pStyle w:val="ListParagraph"/>
        <w:numPr>
          <w:ilvl w:val="0"/>
          <w:numId w:val="1"/>
        </w:numPr>
        <w:spacing w:after="90"/>
      </w:pPr>
      <w:r>
        <w:rPr>
          <w:rFonts w:ascii="Arial" w:cs="Arial" w:eastAsia="Arial" w:hAnsi="Arial"/>
          <w:color w:val="3A3F47"/>
          <w:sz w:val="20"/>
          <w:szCs w:val="20"/>
        </w:rPr>
        <w:t xml:space="preserve">Dana kemitraan/investasi dialokasikan sesuai rencana penggunaan yang disepakati bersama sejak awal, bukan digunakan secara sepihak.</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sz w:val="2"/>
                <w:szCs w:val="2"/>
              </w:rPr>
              <w:t xml:space="preserve"/>
            </w:r>
            <w:r>
              <w:rPr>
                <w:rFonts w:ascii="Arial" w:cs="Arial" w:eastAsia="Arial" w:hAnsi="Arial"/>
                <w:i/>
                <w:iCs/>
                <w:color w:val="3A3F47"/>
                <w:sz w:val="18"/>
                <w:szCs w:val="18"/>
              </w:rPr>
              <w:t xml:space="preserve">Dokumen ini bersifat informatif dan bukan merupakan jaminan hasil usaha maupun nasihat keuangan. Setiap keputusan kerja sama atau investasi sebaiknya didasarkan pada uji tuntas (due diligence) mandiri oleh calon klien/mitra/investor.</w:t>
            </w:r>
          </w:p>
        </w:tc>
      </w:tr>
    </w:tbl>
    <w:p>
      <w:r>
        <w:br w:type="page"/>
      </w:r>
    </w:p>
    <w:p>
      <w:pPr>
        <w:spacing w:after="80" w:before="60"/>
      </w:pPr>
      <w:r>
        <w:rPr>
          <w:rFonts w:ascii="Arial" w:cs="Arial" w:eastAsia="Arial" w:hAnsi="Arial"/>
          <w:b/>
          <w:bCs/>
          <w:color w:val="C8A24A"/>
          <w:sz w:val="17"/>
          <w:szCs w:val="17"/>
        </w:rPr>
        <w:t xml:space="preserve">LAYANAN &amp; PENAWARAN HARGA</w:t>
      </w:r>
    </w:p>
    <w:p>
      <w:pPr>
        <w:pStyle w:val="Heading1"/>
        <w:spacing w:after="200" w:before="40"/>
      </w:pPr>
      <w:r>
        <w:rPr>
          <w:rFonts w:ascii="Arial" w:cs="Arial" w:eastAsia="Arial" w:hAnsi="Arial"/>
          <w:b/>
          <w:bCs/>
          <w:color w:val="0B1F3A"/>
          <w:sz w:val="32"/>
          <w:szCs w:val="32"/>
        </w:rPr>
        <w:t xml:space="preserve">Enam Divisi, Enam Solusi Bisnis</w:t>
      </w:r>
    </w:p>
    <w:p>
      <w:pPr>
        <w:spacing w:after="160"/>
        <w:jc w:val="both"/>
      </w:pPr>
      <w:r>
        <w:rPr>
          <w:rFonts w:ascii="Arial" w:cs="Arial" w:eastAsia="Arial" w:hAnsi="Arial"/>
          <w:color w:val="3A3F47"/>
          <w:sz w:val="20"/>
          <w:szCs w:val="20"/>
        </w:rPr>
        <w:t xml:space="preserve">Bagian berikut menguraikan ruang lingkup layanan dan skema penawaran harga dari keenam divisi PT Legalku Multi Digital. Dua divisi (Air Mineral Quarentine dan LPK Bahasa Korea &amp; Jepang) telah memiliki skema biaya/investasi yang dipublikasikan sebagaimana tercantum di bawah. Empat divisi lainnya (Jasa Hukum, Perizinan Segala Usaha, Penerbitan Buku &amp; Jurnal, dan Aplikasi Legalku) memberikan estimasi biaya secara personal melalui konsultasi awal — karena ruang lingkup dan kompleksitas pekerjaan berbeda-beda untuk setiap klien — sehingga kami mengundang Anda menghubungi tim kami untuk penawaran resmi.</w:t>
      </w:r>
    </w:p>
    <w:p>
      <w:r>
        <w:br w:type="page"/>
      </w:r>
    </w:p>
    <w:p>
      <w:pPr>
        <w:spacing w:after="220"/>
      </w:pPr>
      <w:r>
        <w:drawing>
          <wp:inline distT="0" distB="0" distL="0" distR="0">
            <wp:extent cx="5905500" cy="1695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905500" cy="1695450"/>
                    </a:xfrm>
                    <a:prstGeom prst="rect">
                      <a:avLst/>
                    </a:prstGeom>
                  </pic:spPr>
                </pic:pic>
              </a:graphicData>
            </a:graphic>
          </wp:inline>
        </w:drawing>
      </w:r>
    </w:p>
    <w:p>
      <w:pPr>
        <w:pStyle w:val="Heading2"/>
        <w:spacing w:after="140" w:before="260"/>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23850" cy="323850"/>
                    </a:xfrm>
                    <a:prstGeom prst="rect">
                      <a:avLst/>
                    </a:prstGeom>
                  </pic:spPr>
                </pic:pic>
              </a:graphicData>
            </a:graphic>
          </wp:inline>
        </w:drawing>
      </w:r>
      <w:r>
        <w:rPr>
          <w:rFonts w:ascii="Arial" w:cs="Arial" w:eastAsia="Arial" w:hAnsi="Arial"/>
          <w:b/>
          <w:bCs/>
          <w:color w:val="0B1F3A"/>
          <w:sz w:val="26"/>
          <w:szCs w:val="26"/>
        </w:rPr>
        <w:t xml:space="preserve">   1. Jasa Hukum</w:t>
      </w:r>
    </w:p>
    <w:p>
      <w:pPr>
        <w:spacing w:after="160"/>
      </w:pPr>
      <w:r>
        <w:rPr>
          <w:rFonts w:ascii="Arial" w:cs="Arial" w:eastAsia="Arial" w:hAnsi="Arial"/>
          <w:color w:val="3A3F47"/>
          <w:sz w:val="20"/>
          <w:szCs w:val="20"/>
        </w:rPr>
        <w:t xml:space="preserve">Membantu individu, UMKM, dan korporasi menyelesaikan permasalahan hukum secara tepat, transparan, dan sesuai koridor peraturan perundang-undangan — mulai dari konsultasi ringan hingga pendampingan kasus yang kompleks, bersama mitra advokat berlisensi.</w:t>
      </w:r>
    </w:p>
    <w:p>
      <w:pPr>
        <w:spacing w:after="60" w:before="140"/>
      </w:pPr>
      <w:r>
        <w:rPr>
          <w:rFonts w:ascii="Arial" w:cs="Arial" w:eastAsia="Arial" w:hAnsi="Arial"/>
          <w:b/>
          <w:bCs/>
          <w:color w:val="0B1F3A"/>
          <w:sz w:val="21"/>
          <w:szCs w:val="21"/>
        </w:rPr>
        <w:t xml:space="preserve">Ruang Lingkup Layanan</w:t>
      </w:r>
    </w:p>
    <w:p>
      <w:pPr>
        <w:pStyle w:val="ListParagraph"/>
        <w:numPr>
          <w:ilvl w:val="0"/>
          <w:numId w:val="1"/>
        </w:numPr>
        <w:spacing w:after="90"/>
      </w:pPr>
      <w:r>
        <w:rPr>
          <w:rFonts w:ascii="Arial" w:cs="Arial" w:eastAsia="Arial" w:hAnsi="Arial"/>
          <w:color w:val="3A3F47"/>
          <w:sz w:val="20"/>
          <w:szCs w:val="20"/>
        </w:rPr>
        <w:t xml:space="preserve">Konsultasi hukum perdata, pidana, ketenagakerjaan, dan korporasi</w:t>
      </w:r>
    </w:p>
    <w:p>
      <w:pPr>
        <w:pStyle w:val="ListParagraph"/>
        <w:numPr>
          <w:ilvl w:val="0"/>
          <w:numId w:val="1"/>
        </w:numPr>
        <w:spacing w:after="90"/>
      </w:pPr>
      <w:r>
        <w:rPr>
          <w:rFonts w:ascii="Arial" w:cs="Arial" w:eastAsia="Arial" w:hAnsi="Arial"/>
          <w:color w:val="3A3F47"/>
          <w:sz w:val="20"/>
          <w:szCs w:val="20"/>
        </w:rPr>
        <w:t xml:space="preserve">Legal drafting: kontrak kerja sama, MoU, perjanjian jual-beli, dan perjanjian bisnis lainnya</w:t>
      </w:r>
    </w:p>
    <w:p>
      <w:pPr>
        <w:pStyle w:val="ListParagraph"/>
        <w:numPr>
          <w:ilvl w:val="0"/>
          <w:numId w:val="1"/>
        </w:numPr>
        <w:spacing w:after="90"/>
      </w:pPr>
      <w:r>
        <w:rPr>
          <w:rFonts w:ascii="Arial" w:cs="Arial" w:eastAsia="Arial" w:hAnsi="Arial"/>
          <w:color w:val="3A3F47"/>
          <w:sz w:val="20"/>
          <w:szCs w:val="20"/>
        </w:rPr>
        <w:t xml:space="preserve">Legal audit dan legal opinion untuk kebutuhan investasi atau kerja sama usaha</w:t>
      </w:r>
    </w:p>
    <w:p>
      <w:pPr>
        <w:pStyle w:val="ListParagraph"/>
        <w:numPr>
          <w:ilvl w:val="0"/>
          <w:numId w:val="1"/>
        </w:numPr>
        <w:spacing w:after="90"/>
      </w:pPr>
      <w:r>
        <w:rPr>
          <w:rFonts w:ascii="Arial" w:cs="Arial" w:eastAsia="Arial" w:hAnsi="Arial"/>
          <w:color w:val="3A3F47"/>
          <w:sz w:val="20"/>
          <w:szCs w:val="20"/>
        </w:rPr>
        <w:t xml:space="preserve">Pendampingan negosiasi dan penyelesaian sengketa di luar pengadilan (non-litigasi)</w:t>
      </w:r>
    </w:p>
    <w:p>
      <w:pPr>
        <w:pStyle w:val="ListParagraph"/>
        <w:numPr>
          <w:ilvl w:val="0"/>
          <w:numId w:val="1"/>
        </w:numPr>
        <w:spacing w:after="90"/>
      </w:pPr>
      <w:r>
        <w:rPr>
          <w:rFonts w:ascii="Arial" w:cs="Arial" w:eastAsia="Arial" w:hAnsi="Arial"/>
          <w:color w:val="3A3F47"/>
          <w:sz w:val="20"/>
          <w:szCs w:val="20"/>
        </w:rPr>
        <w:t xml:space="preserve">Pendampingan proses litigasi bersama mitra advokat berlisensi</w:t>
      </w:r>
    </w:p>
    <w:p>
      <w:pPr>
        <w:pStyle w:val="ListParagraph"/>
        <w:numPr>
          <w:ilvl w:val="0"/>
          <w:numId w:val="1"/>
        </w:numPr>
        <w:spacing w:after="90"/>
      </w:pPr>
      <w:r>
        <w:rPr>
          <w:rFonts w:ascii="Arial" w:cs="Arial" w:eastAsia="Arial" w:hAnsi="Arial"/>
          <w:color w:val="3A3F47"/>
          <w:sz w:val="20"/>
          <w:szCs w:val="20"/>
        </w:rPr>
        <w:t xml:space="preserve">Somasi dan korespondensi hukum resmi</w:t>
      </w:r>
    </w:p>
    <w:p>
      <w:pPr>
        <w:spacing w:after="60" w:before="140"/>
      </w:pPr>
      <w:r>
        <w:rPr>
          <w:rFonts w:ascii="Arial" w:cs="Arial" w:eastAsia="Arial" w:hAnsi="Arial"/>
          <w:b/>
          <w:bCs/>
          <w:color w:val="0B1F3A"/>
          <w:sz w:val="21"/>
          <w:szCs w:val="21"/>
        </w:rPr>
        <w:t xml:space="preserve">Skema Penawaran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00"/>
        <w:gridCol w:w="6250"/>
      </w:tblGrid>
      <w:tr>
        <w:tc>
          <w:tcPr>
            <w:tcW w:type="dxa" w:w="3100"/>
            <w:shd w:fill="0B1F3A" w:val="clear"/>
            <w:tcMar>
              <w:top w:type="dxa" w:w="110"/>
              <w:left w:type="dxa" w:w="150"/>
              <w:bottom w:type="dxa" w:w="110"/>
              <w:right w:type="dxa" w:w="150"/>
            </w:tcMar>
          </w:tcPr>
          <w:p>
            <w:r>
              <w:rPr>
                <w:rFonts w:ascii="Arial" w:cs="Arial" w:eastAsia="Arial" w:hAnsi="Arial"/>
                <w:b/>
                <w:bCs/>
                <w:color w:val="FFFFFF"/>
                <w:sz w:val="18"/>
                <w:szCs w:val="18"/>
              </w:rPr>
              <w:t xml:space="preserve">Jenis Layanan</w:t>
            </w:r>
          </w:p>
        </w:tc>
        <w:tc>
          <w:tcPr>
            <w:tcW w:type="dxa" w:w="6250"/>
            <w:shd w:fill="0B1F3A" w:val="clear"/>
            <w:tcMar>
              <w:top w:type="dxa" w:w="110"/>
              <w:left w:type="dxa" w:w="150"/>
              <w:bottom w:type="dxa" w:w="110"/>
              <w:right w:type="dxa" w:w="150"/>
            </w:tcMar>
          </w:tcPr>
          <w:p>
            <w:r>
              <w:rPr>
                <w:rFonts w:ascii="Arial" w:cs="Arial" w:eastAsia="Arial" w:hAnsi="Arial"/>
                <w:b/>
                <w:bCs/>
                <w:color w:val="FFFFFF"/>
                <w:sz w:val="18"/>
                <w:szCs w:val="18"/>
              </w:rPr>
              <w:t xml:space="preserve">Skema Biaya</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Konsultasi Awal</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Gratis, via telepon, WhatsApp, atau tatap muka</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Legal Drafting &amp; Legal Opinion</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Estimasi biaya diberikan setelah kajian awal kasus</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Pendampingan Non-Litigasi</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Menyesuaikan kompleksitas kasus — hubungi kami untuk penawaran khusus</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Pendampingan Litigasi</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Menyesuaikan kompleksitas kasus — hubungi kami untuk penawaran khusus</w:t>
            </w:r>
          </w:p>
        </w:tc>
      </w:tr>
    </w:tbl>
    <w:p>
      <w:r>
        <w:br w:type="page"/>
      </w:r>
    </w:p>
    <w:p>
      <w:pPr>
        <w:spacing w:after="220"/>
      </w:pPr>
      <w:r>
        <w:drawing>
          <wp:inline distT="0" distB="0" distL="0" distR="0">
            <wp:extent cx="5905500" cy="1695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905500" cy="1695450"/>
                    </a:xfrm>
                    <a:prstGeom prst="rect">
                      <a:avLst/>
                    </a:prstGeom>
                  </pic:spPr>
                </pic:pic>
              </a:graphicData>
            </a:graphic>
          </wp:inline>
        </w:drawing>
      </w:r>
    </w:p>
    <w:p>
      <w:pPr>
        <w:pStyle w:val="Heading2"/>
        <w:spacing w:after="140" w:before="260"/>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23850" cy="323850"/>
                    </a:xfrm>
                    <a:prstGeom prst="rect">
                      <a:avLst/>
                    </a:prstGeom>
                  </pic:spPr>
                </pic:pic>
              </a:graphicData>
            </a:graphic>
          </wp:inline>
        </w:drawing>
      </w:r>
      <w:r>
        <w:rPr>
          <w:rFonts w:ascii="Arial" w:cs="Arial" w:eastAsia="Arial" w:hAnsi="Arial"/>
          <w:b/>
          <w:bCs/>
          <w:color w:val="0B1F3A"/>
          <w:sz w:val="26"/>
          <w:szCs w:val="26"/>
        </w:rPr>
        <w:t xml:space="preserve">   2. Perizinan Segala Usaha</w:t>
      </w:r>
    </w:p>
    <w:p>
      <w:pPr>
        <w:spacing w:after="160"/>
      </w:pPr>
      <w:r>
        <w:rPr>
          <w:rFonts w:ascii="Arial" w:cs="Arial" w:eastAsia="Arial" w:hAnsi="Arial"/>
          <w:color w:val="3A3F47"/>
          <w:sz w:val="20"/>
          <w:szCs w:val="20"/>
        </w:rPr>
        <w:t xml:space="preserve">Solusi legalitas usaha yang cepat, transparan, dan sesuai regulasi — membantu pelaku usaha dari UMKM hingga korporasi mengurus NIB, pendirian PT/CV/Yayasan/Koperasi, PBG, sertifikasi halal, hingga izin operasional melalui sistem OSS RBA.</w:t>
      </w:r>
    </w:p>
    <w:p>
      <w:pPr>
        <w:spacing w:after="60" w:before="140"/>
      </w:pPr>
      <w:r>
        <w:rPr>
          <w:rFonts w:ascii="Arial" w:cs="Arial" w:eastAsia="Arial" w:hAnsi="Arial"/>
          <w:b/>
          <w:bCs/>
          <w:color w:val="0B1F3A"/>
          <w:sz w:val="21"/>
          <w:szCs w:val="21"/>
        </w:rPr>
        <w:t xml:space="preserve">Ruang Lingkup Layanan</w:t>
      </w:r>
    </w:p>
    <w:p>
      <w:pPr>
        <w:pStyle w:val="ListParagraph"/>
        <w:numPr>
          <w:ilvl w:val="0"/>
          <w:numId w:val="1"/>
        </w:numPr>
        <w:spacing w:after="90"/>
      </w:pPr>
      <w:r>
        <w:rPr>
          <w:rFonts w:ascii="Arial" w:cs="Arial" w:eastAsia="Arial" w:hAnsi="Arial"/>
          <w:color w:val="3A3F47"/>
          <w:sz w:val="20"/>
          <w:szCs w:val="20"/>
        </w:rPr>
        <w:t xml:space="preserve">Pendirian Perusahaan (PT, CV, Yayasan, Koperasi) lengkap akta dan pengesahan resmi, serta penutupan/pembubaran badan usaha</w:t>
      </w:r>
    </w:p>
    <w:p>
      <w:pPr>
        <w:pStyle w:val="ListParagraph"/>
        <w:numPr>
          <w:ilvl w:val="0"/>
          <w:numId w:val="1"/>
        </w:numPr>
        <w:spacing w:after="90"/>
      </w:pPr>
      <w:r>
        <w:rPr>
          <w:rFonts w:ascii="Arial" w:cs="Arial" w:eastAsia="Arial" w:hAnsi="Arial"/>
          <w:color w:val="3A3F47"/>
          <w:sz w:val="20"/>
          <w:szCs w:val="20"/>
        </w:rPr>
        <w:t xml:space="preserve">Perizinan Usaha &amp; OSS RBA — NIB, izin usaha, dan perizinan berbasis risiko</w:t>
      </w:r>
    </w:p>
    <w:p>
      <w:pPr>
        <w:pStyle w:val="ListParagraph"/>
        <w:numPr>
          <w:ilvl w:val="0"/>
          <w:numId w:val="1"/>
        </w:numPr>
        <w:spacing w:after="90"/>
      </w:pPr>
      <w:r>
        <w:rPr>
          <w:rFonts w:ascii="Arial" w:cs="Arial" w:eastAsia="Arial" w:hAnsi="Arial"/>
          <w:color w:val="3A3F47"/>
          <w:sz w:val="20"/>
          <w:szCs w:val="20"/>
        </w:rPr>
        <w:t xml:space="preserve">Perizinan khusus bidang usaha: SBUJK, Izin Klinik &amp; Faskes, Izin Edar BPOM, PIRT, Sertifikasi Halal, SLS, SNI, Izin Ekspor-Impor, IPAK, PKRT, PBG &amp; SLF</w:t>
      </w:r>
    </w:p>
    <w:p>
      <w:pPr>
        <w:pStyle w:val="ListParagraph"/>
        <w:numPr>
          <w:ilvl w:val="0"/>
          <w:numId w:val="1"/>
        </w:numPr>
        <w:spacing w:after="90"/>
      </w:pPr>
      <w:r>
        <w:rPr>
          <w:rFonts w:ascii="Arial" w:cs="Arial" w:eastAsia="Arial" w:hAnsi="Arial"/>
          <w:color w:val="3A3F47"/>
          <w:sz w:val="20"/>
          <w:szCs w:val="20"/>
        </w:rPr>
        <w:t xml:space="preserve">Penyusunan &amp; peninjauan perjanjian kerja, investasi, dan kontrak bisnis</w:t>
      </w:r>
    </w:p>
    <w:p>
      <w:pPr>
        <w:pStyle w:val="ListParagraph"/>
        <w:numPr>
          <w:ilvl w:val="0"/>
          <w:numId w:val="1"/>
        </w:numPr>
        <w:spacing w:after="90"/>
      </w:pPr>
      <w:r>
        <w:rPr>
          <w:rFonts w:ascii="Arial" w:cs="Arial" w:eastAsia="Arial" w:hAnsi="Arial"/>
          <w:color w:val="3A3F47"/>
          <w:sz w:val="20"/>
          <w:szCs w:val="20"/>
        </w:rPr>
        <w:t xml:space="preserve">Layanan pendukung terintegrasi: perpajakan &amp; pembukuan, perlindungan merek &amp; HKI, investasi &amp; perusahaan asing (PMA), legalitas properti &amp; pertanahan</w:t>
      </w:r>
    </w:p>
    <w:p>
      <w:pPr>
        <w:spacing w:after="60" w:before="140"/>
      </w:pPr>
      <w:r>
        <w:rPr>
          <w:rFonts w:ascii="Arial" w:cs="Arial" w:eastAsia="Arial" w:hAnsi="Arial"/>
          <w:b/>
          <w:bCs/>
          <w:color w:val="0B1F3A"/>
          <w:sz w:val="21"/>
          <w:szCs w:val="21"/>
        </w:rPr>
        <w:t xml:space="preserve">Skema Penawaran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00"/>
        <w:gridCol w:w="6250"/>
      </w:tblGrid>
      <w:tr>
        <w:tc>
          <w:tcPr>
            <w:tcW w:type="dxa" w:w="3100"/>
            <w:shd w:fill="0B1F3A" w:val="clear"/>
            <w:tcMar>
              <w:top w:type="dxa" w:w="110"/>
              <w:left w:type="dxa" w:w="150"/>
              <w:bottom w:type="dxa" w:w="110"/>
              <w:right w:type="dxa" w:w="150"/>
            </w:tcMar>
          </w:tcPr>
          <w:p>
            <w:r>
              <w:rPr>
                <w:rFonts w:ascii="Arial" w:cs="Arial" w:eastAsia="Arial" w:hAnsi="Arial"/>
                <w:b/>
                <w:bCs/>
                <w:color w:val="FFFFFF"/>
                <w:sz w:val="18"/>
                <w:szCs w:val="18"/>
              </w:rPr>
              <w:t xml:space="preserve">Jenis Layanan</w:t>
            </w:r>
          </w:p>
        </w:tc>
        <w:tc>
          <w:tcPr>
            <w:tcW w:type="dxa" w:w="6250"/>
            <w:shd w:fill="0B1F3A" w:val="clear"/>
            <w:tcMar>
              <w:top w:type="dxa" w:w="110"/>
              <w:left w:type="dxa" w:w="150"/>
              <w:bottom w:type="dxa" w:w="110"/>
              <w:right w:type="dxa" w:w="150"/>
            </w:tcMar>
          </w:tcPr>
          <w:p>
            <w:r>
              <w:rPr>
                <w:rFonts w:ascii="Arial" w:cs="Arial" w:eastAsia="Arial" w:hAnsi="Arial"/>
                <w:b/>
                <w:bCs/>
                <w:color w:val="FFFFFF"/>
                <w:sz w:val="18"/>
                <w:szCs w:val="18"/>
              </w:rPr>
              <w:t xml:space="preserve">Skema Biaya</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Konsultasi Kebutuhan Perizinan</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Gratis pada tahap asesmen awal</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Pendirian PT / CV / Yayasan / Koperasi</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Menyesuaikan jenis badan usaha — hubungi kami untuk penawaran khusus</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NIB &amp; Perizinan Berbasis Risiko (OSS RBA)</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Menyesuaikan skala &amp; jenis usaha — hubungi kami untuk penawaran khusus</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Perizinan Khusus (BPOM, Halal, SNI, PBG, dll.)</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Menyesuaikan jenis izin — hubungi kami untuk penawaran khusus</w:t>
            </w:r>
          </w:p>
        </w:tc>
      </w:tr>
    </w:tbl>
    <w:p>
      <w:r>
        <w:br w:type="page"/>
      </w:r>
    </w:p>
    <w:p>
      <w:pPr>
        <w:spacing w:after="220"/>
      </w:pPr>
      <w:r>
        <w:drawing>
          <wp:inline distT="0" distB="0" distL="0" distR="0">
            <wp:extent cx="5905500" cy="1695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905500" cy="1695450"/>
                    </a:xfrm>
                    <a:prstGeom prst="rect">
                      <a:avLst/>
                    </a:prstGeom>
                  </pic:spPr>
                </pic:pic>
              </a:graphicData>
            </a:graphic>
          </wp:inline>
        </w:drawing>
      </w:r>
    </w:p>
    <w:p>
      <w:pPr>
        <w:pStyle w:val="Heading2"/>
        <w:spacing w:after="140" w:before="260"/>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23850" cy="323850"/>
                    </a:xfrm>
                    <a:prstGeom prst="rect">
                      <a:avLst/>
                    </a:prstGeom>
                  </pic:spPr>
                </pic:pic>
              </a:graphicData>
            </a:graphic>
          </wp:inline>
        </w:drawing>
      </w:r>
      <w:r>
        <w:rPr>
          <w:rFonts w:ascii="Arial" w:cs="Arial" w:eastAsia="Arial" w:hAnsi="Arial"/>
          <w:b/>
          <w:bCs/>
          <w:color w:val="0B1F3A"/>
          <w:sz w:val="26"/>
          <w:szCs w:val="26"/>
        </w:rPr>
        <w:t xml:space="preserve">   3. Penerbitan Buku &amp; Jurnal</w:t>
      </w:r>
    </w:p>
    <w:p>
      <w:pPr>
        <w:spacing w:after="160"/>
      </w:pPr>
      <w:r>
        <w:rPr>
          <w:rFonts w:ascii="Arial" w:cs="Arial" w:eastAsia="Arial" w:hAnsi="Arial"/>
          <w:color w:val="3A3F47"/>
          <w:sz w:val="20"/>
          <w:szCs w:val="20"/>
        </w:rPr>
        <w:t xml:space="preserve">Mewujudkan karya tertulis menjadi buku dan jurnal ber-ISBN secara profesional — mencakup editorial, proofreading, layout, desain sampul, hingga pendampingan pendaftaran hak cipta (HKI).</w:t>
      </w:r>
    </w:p>
    <w:p>
      <w:pPr>
        <w:spacing w:after="60" w:before="140"/>
      </w:pPr>
      <w:r>
        <w:rPr>
          <w:rFonts w:ascii="Arial" w:cs="Arial" w:eastAsia="Arial" w:hAnsi="Arial"/>
          <w:b/>
          <w:bCs/>
          <w:color w:val="0B1F3A"/>
          <w:sz w:val="21"/>
          <w:szCs w:val="21"/>
        </w:rPr>
        <w:t xml:space="preserve">Ruang Lingkup Layanan</w:t>
      </w:r>
    </w:p>
    <w:p>
      <w:pPr>
        <w:pStyle w:val="ListParagraph"/>
        <w:numPr>
          <w:ilvl w:val="0"/>
          <w:numId w:val="1"/>
        </w:numPr>
        <w:spacing w:after="90"/>
      </w:pPr>
      <w:r>
        <w:rPr>
          <w:rFonts w:ascii="Arial" w:cs="Arial" w:eastAsia="Arial" w:hAnsi="Arial"/>
          <w:color w:val="3A3F47"/>
          <w:sz w:val="20"/>
          <w:szCs w:val="20"/>
        </w:rPr>
        <w:t xml:space="preserve">Penerbitan buku ber-ISBN (fiksi, non-fiksi, akademik, antologi)</w:t>
      </w:r>
    </w:p>
    <w:p>
      <w:pPr>
        <w:pStyle w:val="ListParagraph"/>
        <w:numPr>
          <w:ilvl w:val="0"/>
          <w:numId w:val="1"/>
        </w:numPr>
        <w:spacing w:after="90"/>
      </w:pPr>
      <w:r>
        <w:rPr>
          <w:rFonts w:ascii="Arial" w:cs="Arial" w:eastAsia="Arial" w:hAnsi="Arial"/>
          <w:color w:val="3A3F47"/>
          <w:sz w:val="20"/>
          <w:szCs w:val="20"/>
        </w:rPr>
        <w:t xml:space="preserve">Penerbitan jurnal ilmiah untuk kebutuhan akademisi &amp; peneliti</w:t>
      </w:r>
    </w:p>
    <w:p>
      <w:pPr>
        <w:pStyle w:val="ListParagraph"/>
        <w:numPr>
          <w:ilvl w:val="0"/>
          <w:numId w:val="1"/>
        </w:numPr>
        <w:spacing w:after="90"/>
      </w:pPr>
      <w:r>
        <w:rPr>
          <w:rFonts w:ascii="Arial" w:cs="Arial" w:eastAsia="Arial" w:hAnsi="Arial"/>
          <w:color w:val="3A3F47"/>
          <w:sz w:val="20"/>
          <w:szCs w:val="20"/>
        </w:rPr>
        <w:t xml:space="preserve">Editing dan proofreading naskah</w:t>
      </w:r>
    </w:p>
    <w:p>
      <w:pPr>
        <w:pStyle w:val="ListParagraph"/>
        <w:numPr>
          <w:ilvl w:val="0"/>
          <w:numId w:val="1"/>
        </w:numPr>
        <w:spacing w:after="90"/>
      </w:pPr>
      <w:r>
        <w:rPr>
          <w:rFonts w:ascii="Arial" w:cs="Arial" w:eastAsia="Arial" w:hAnsi="Arial"/>
          <w:color w:val="3A3F47"/>
          <w:sz w:val="20"/>
          <w:szCs w:val="20"/>
        </w:rPr>
        <w:t xml:space="preserve">Layout isi buku dan desain sampul</w:t>
      </w:r>
    </w:p>
    <w:p>
      <w:pPr>
        <w:pStyle w:val="ListParagraph"/>
        <w:numPr>
          <w:ilvl w:val="0"/>
          <w:numId w:val="1"/>
        </w:numPr>
        <w:spacing w:after="90"/>
      </w:pPr>
      <w:r>
        <w:rPr>
          <w:rFonts w:ascii="Arial" w:cs="Arial" w:eastAsia="Arial" w:hAnsi="Arial"/>
          <w:color w:val="3A3F47"/>
          <w:sz w:val="20"/>
          <w:szCs w:val="20"/>
        </w:rPr>
        <w:t xml:space="preserve">Konversi naskah ke format cetak &amp; digital (e-book)</w:t>
      </w:r>
    </w:p>
    <w:p>
      <w:pPr>
        <w:pStyle w:val="ListParagraph"/>
        <w:numPr>
          <w:ilvl w:val="0"/>
          <w:numId w:val="1"/>
        </w:numPr>
        <w:spacing w:after="90"/>
      </w:pPr>
      <w:r>
        <w:rPr>
          <w:rFonts w:ascii="Arial" w:cs="Arial" w:eastAsia="Arial" w:hAnsi="Arial"/>
          <w:color w:val="3A3F47"/>
          <w:sz w:val="20"/>
          <w:szCs w:val="20"/>
        </w:rPr>
        <w:t xml:space="preserve">Pendampingan pendaftaran Hak Kekayaan Intelektual (HKI) atas karya tulis</w:t>
      </w:r>
    </w:p>
    <w:p>
      <w:pPr>
        <w:spacing w:after="60" w:before="140"/>
      </w:pPr>
      <w:r>
        <w:rPr>
          <w:rFonts w:ascii="Arial" w:cs="Arial" w:eastAsia="Arial" w:hAnsi="Arial"/>
          <w:b/>
          <w:bCs/>
          <w:color w:val="0B1F3A"/>
          <w:sz w:val="21"/>
          <w:szCs w:val="21"/>
        </w:rPr>
        <w:t xml:space="preserve">Skema Penawaran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00"/>
        <w:gridCol w:w="6250"/>
      </w:tblGrid>
      <w:tr>
        <w:tc>
          <w:tcPr>
            <w:tcW w:type="dxa" w:w="3100"/>
            <w:shd w:fill="0B1F3A" w:val="clear"/>
            <w:tcMar>
              <w:top w:type="dxa" w:w="110"/>
              <w:left w:type="dxa" w:w="150"/>
              <w:bottom w:type="dxa" w:w="110"/>
              <w:right w:type="dxa" w:w="150"/>
            </w:tcMar>
          </w:tcPr>
          <w:p>
            <w:r>
              <w:rPr>
                <w:rFonts w:ascii="Arial" w:cs="Arial" w:eastAsia="Arial" w:hAnsi="Arial"/>
                <w:b/>
                <w:bCs/>
                <w:color w:val="FFFFFF"/>
                <w:sz w:val="18"/>
                <w:szCs w:val="18"/>
              </w:rPr>
              <w:t xml:space="preserve">Paket Layanan</w:t>
            </w:r>
          </w:p>
        </w:tc>
        <w:tc>
          <w:tcPr>
            <w:tcW w:type="dxa" w:w="6250"/>
            <w:shd w:fill="0B1F3A" w:val="clear"/>
            <w:tcMar>
              <w:top w:type="dxa" w:w="110"/>
              <w:left w:type="dxa" w:w="150"/>
              <w:bottom w:type="dxa" w:w="110"/>
              <w:right w:type="dxa" w:w="150"/>
            </w:tcMar>
          </w:tcPr>
          <w:p>
            <w:r>
              <w:rPr>
                <w:rFonts w:ascii="Arial" w:cs="Arial" w:eastAsia="Arial" w:hAnsi="Arial"/>
                <w:b/>
                <w:bCs/>
                <w:color w:val="FFFFFF"/>
                <w:sz w:val="18"/>
                <w:szCs w:val="18"/>
              </w:rPr>
              <w:t xml:space="preserve">Skema Biaya</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Paket Naskah ke ISBN</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Editorial + pengajuan ISBN — hubungi kami untuk penawaran khusus</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Paket + Layout &amp; Desain Sampul</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Termasuk layout isi &amp; desain sampul — hubungi kami untuk penawaran khusus</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Paket + Pendaftaran HKI</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Termasuk pendampingan HKI atas karya tulis — hubungi kami untuk penawaran khusus</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Penerbitan Jurnal Ilmiah</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Menyesuaikan cakupan editorial — hubungi kami untuk penawaran khusus</w:t>
            </w:r>
          </w:p>
        </w:tc>
      </w:tr>
    </w:tbl>
    <w:p>
      <w:r>
        <w:br w:type="page"/>
      </w:r>
    </w:p>
    <w:p>
      <w:pPr>
        <w:spacing w:after="220"/>
      </w:pPr>
      <w:r>
        <w:drawing>
          <wp:inline distT="0" distB="0" distL="0" distR="0">
            <wp:extent cx="5905500" cy="1695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905500" cy="1695450"/>
                    </a:xfrm>
                    <a:prstGeom prst="rect">
                      <a:avLst/>
                    </a:prstGeom>
                  </pic:spPr>
                </pic:pic>
              </a:graphicData>
            </a:graphic>
          </wp:inline>
        </w:drawing>
      </w:r>
    </w:p>
    <w:p>
      <w:pPr>
        <w:pStyle w:val="Heading2"/>
        <w:spacing w:after="140" w:before="260"/>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23850" cy="323850"/>
                    </a:xfrm>
                    <a:prstGeom prst="rect">
                      <a:avLst/>
                    </a:prstGeom>
                  </pic:spPr>
                </pic:pic>
              </a:graphicData>
            </a:graphic>
          </wp:inline>
        </w:drawing>
      </w:r>
      <w:r>
        <w:rPr>
          <w:rFonts w:ascii="Arial" w:cs="Arial" w:eastAsia="Arial" w:hAnsi="Arial"/>
          <w:b/>
          <w:bCs/>
          <w:color w:val="0B1F3A"/>
          <w:sz w:val="26"/>
          <w:szCs w:val="26"/>
        </w:rPr>
        <w:t xml:space="preserve">   4. Air Mineral Quarentine</w:t>
      </w:r>
    </w:p>
    <w:p>
      <w:pPr>
        <w:spacing w:after="160"/>
      </w:pPr>
      <w:r>
        <w:rPr>
          <w:rFonts w:ascii="Arial" w:cs="Arial" w:eastAsia="Arial" w:hAnsi="Arial"/>
          <w:color w:val="3A3F47"/>
          <w:sz w:val="20"/>
          <w:szCs w:val="20"/>
        </w:rPr>
        <w:t xml:space="preserve">Air mineral higienis, legal, dan siap memenuhi kebutuhan bisnis skala besar — memproduksi dan mendistribusikan air minum dalam kemasan (AMDK) untuk kebutuhan kantor, acara, sektor horeka, hingga distribusi retail.</w:t>
      </w:r>
    </w:p>
    <w:p>
      <w:pPr>
        <w:spacing w:after="60" w:before="140"/>
      </w:pPr>
      <w:r>
        <w:rPr>
          <w:rFonts w:ascii="Arial" w:cs="Arial" w:eastAsia="Arial" w:hAnsi="Arial"/>
          <w:b/>
          <w:bCs/>
          <w:color w:val="0B1F3A"/>
          <w:sz w:val="21"/>
          <w:szCs w:val="21"/>
        </w:rPr>
        <w:t xml:space="preserve">Lini Produk</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20"/>
        <w:gridCol w:w="3115"/>
        <w:gridCol w:w="3115"/>
      </w:tblGrid>
      <w:tr>
        <w:tc>
          <w:tcPr>
            <w:tcW w:type="dxa" w:w="3120"/>
            <w:shd w:fill="0B1F3A" w:val="clear"/>
            <w:tcMar>
              <w:top w:type="dxa" w:w="110"/>
              <w:left w:type="dxa" w:w="130"/>
              <w:bottom w:type="dxa" w:w="110"/>
              <w:right w:type="dxa" w:w="130"/>
            </w:tcMar>
          </w:tcPr>
          <w:p>
            <w:r>
              <w:rPr>
                <w:rFonts w:ascii="Arial" w:cs="Arial" w:eastAsia="Arial" w:hAnsi="Arial"/>
                <w:b/>
                <w:bCs/>
                <w:color w:val="FFFFFF"/>
                <w:sz w:val="17"/>
                <w:szCs w:val="17"/>
              </w:rPr>
              <w:t xml:space="preserve">Lini Produk</w:t>
            </w:r>
          </w:p>
        </w:tc>
        <w:tc>
          <w:tcPr>
            <w:tcW w:type="dxa" w:w="3115"/>
            <w:shd w:fill="0B1F3A" w:val="clear"/>
            <w:tcMar>
              <w:top w:type="dxa" w:w="110"/>
              <w:left w:type="dxa" w:w="130"/>
              <w:bottom w:type="dxa" w:w="110"/>
              <w:right w:type="dxa" w:w="130"/>
            </w:tcMar>
          </w:tcPr>
          <w:p>
            <w:r>
              <w:rPr>
                <w:rFonts w:ascii="Arial" w:cs="Arial" w:eastAsia="Arial" w:hAnsi="Arial"/>
                <w:b/>
                <w:bCs/>
                <w:color w:val="FFFFFF"/>
                <w:sz w:val="17"/>
                <w:szCs w:val="17"/>
              </w:rPr>
              <w:t xml:space="preserve">Ukuran</w:t>
            </w:r>
          </w:p>
        </w:tc>
        <w:tc>
          <w:tcPr>
            <w:tcW w:type="dxa" w:w="3115"/>
            <w:shd w:fill="0B1F3A" w:val="clear"/>
            <w:tcMar>
              <w:top w:type="dxa" w:w="110"/>
              <w:left w:type="dxa" w:w="130"/>
              <w:bottom w:type="dxa" w:w="110"/>
              <w:right w:type="dxa" w:w="130"/>
            </w:tcMar>
          </w:tcPr>
          <w:p>
            <w:r>
              <w:rPr>
                <w:rFonts w:ascii="Arial" w:cs="Arial" w:eastAsia="Arial" w:hAnsi="Arial"/>
                <w:b/>
                <w:bCs/>
                <w:color w:val="FFFFFF"/>
                <w:sz w:val="17"/>
                <w:szCs w:val="17"/>
              </w:rPr>
              <w:t xml:space="preserve">Segmen</w:t>
            </w:r>
          </w:p>
        </w:tc>
      </w:tr>
      <w:tr>
        <w:tc>
          <w:tcPr>
            <w:tcW w:type="dxa" w:w="3120"/>
            <w:tcBorders>
              <w:top w:val="single" w:color="E6E6E3" w:sz="2"/>
              <w:left w:val="single" w:color="E6E6E3" w:sz="2"/>
              <w:bottom w:val="single" w:color="E6E6E3" w:sz="2"/>
              <w:right w:val="single" w:color="E6E6E3" w:sz="2"/>
            </w:tcBorders>
            <w:shd w:fill="FBF6E9" w:val="clear"/>
            <w:tcMar>
              <w:top w:type="dxa" w:w="100"/>
              <w:left w:type="dxa" w:w="130"/>
              <w:bottom w:type="dxa" w:w="100"/>
              <w:right w:type="dxa" w:w="130"/>
            </w:tcMar>
          </w:tcPr>
          <w:p>
            <w:r>
              <w:rPr>
                <w:rFonts w:ascii="Arial" w:cs="Arial" w:eastAsia="Arial" w:hAnsi="Arial"/>
                <w:b/>
                <w:bCs/>
                <w:color w:val="0B1F3A"/>
                <w:sz w:val="17"/>
                <w:szCs w:val="17"/>
              </w:rPr>
              <w:t xml:space="preserve">Kemasan Reguler</w:t>
            </w:r>
          </w:p>
        </w:tc>
        <w:tc>
          <w:tcPr>
            <w:tcW w:type="dxa" w:w="3115"/>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220 ml · 330 ml · 600 ml · 1500 ml</w:t>
            </w:r>
          </w:p>
        </w:tc>
        <w:tc>
          <w:tcPr>
            <w:tcW w:type="dxa" w:w="3115"/>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Konsumsi harian</w:t>
            </w:r>
          </w:p>
        </w:tc>
      </w:tr>
      <w:tr>
        <w:tc>
          <w:tcPr>
            <w:tcW w:type="dxa" w:w="3120"/>
            <w:tcBorders>
              <w:top w:val="single" w:color="E6E6E3" w:sz="2"/>
              <w:left w:val="single" w:color="E6E6E3" w:sz="2"/>
              <w:bottom w:val="single" w:color="E6E6E3" w:sz="2"/>
              <w:right w:val="single" w:color="E6E6E3" w:sz="2"/>
            </w:tcBorders>
            <w:shd w:fill="FBF6E9" w:val="clear"/>
            <w:tcMar>
              <w:top w:type="dxa" w:w="100"/>
              <w:left w:type="dxa" w:w="130"/>
              <w:bottom w:type="dxa" w:w="100"/>
              <w:right w:type="dxa" w:w="130"/>
            </w:tcMar>
          </w:tcPr>
          <w:p>
            <w:r>
              <w:rPr>
                <w:rFonts w:ascii="Arial" w:cs="Arial" w:eastAsia="Arial" w:hAnsi="Arial"/>
                <w:b/>
                <w:bCs/>
                <w:color w:val="0B1F3A"/>
                <w:sz w:val="17"/>
                <w:szCs w:val="17"/>
              </w:rPr>
              <w:t xml:space="preserve">Kemasan Premium</w:t>
            </w:r>
          </w:p>
        </w:tc>
        <w:tc>
          <w:tcPr>
            <w:tcW w:type="dxa" w:w="3115"/>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330 ml Premium · 600 ml Premium</w:t>
            </w:r>
          </w:p>
        </w:tc>
        <w:tc>
          <w:tcPr>
            <w:tcW w:type="dxa" w:w="3115"/>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Segmen khusus</w:t>
            </w:r>
          </w:p>
        </w:tc>
      </w:tr>
      <w:tr>
        <w:tc>
          <w:tcPr>
            <w:tcW w:type="dxa" w:w="3120"/>
            <w:tcBorders>
              <w:top w:val="single" w:color="E6E6E3" w:sz="2"/>
              <w:left w:val="single" w:color="E6E6E3" w:sz="2"/>
              <w:bottom w:val="single" w:color="E6E6E3" w:sz="2"/>
              <w:right w:val="single" w:color="E6E6E3" w:sz="2"/>
            </w:tcBorders>
            <w:shd w:fill="FBF6E9" w:val="clear"/>
            <w:tcMar>
              <w:top w:type="dxa" w:w="100"/>
              <w:left w:type="dxa" w:w="130"/>
              <w:bottom w:type="dxa" w:w="100"/>
              <w:right w:type="dxa" w:w="130"/>
            </w:tcMar>
          </w:tcPr>
          <w:p>
            <w:r>
              <w:rPr>
                <w:rFonts w:ascii="Arial" w:cs="Arial" w:eastAsia="Arial" w:hAnsi="Arial"/>
                <w:b/>
                <w:bCs/>
                <w:color w:val="0B1F3A"/>
                <w:sz w:val="17"/>
                <w:szCs w:val="17"/>
              </w:rPr>
              <w:t xml:space="preserve">Galon &amp; Literan Besar</w:t>
            </w:r>
          </w:p>
        </w:tc>
        <w:tc>
          <w:tcPr>
            <w:tcW w:type="dxa" w:w="3115"/>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1 L · 2,5 L · 5 L · 10 L · 15 L</w:t>
            </w:r>
          </w:p>
        </w:tc>
        <w:tc>
          <w:tcPr>
            <w:tcW w:type="dxa" w:w="3115"/>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Korporasi &amp; isi ulang</w:t>
            </w:r>
          </w:p>
        </w:tc>
      </w:tr>
    </w:tbl>
    <w:p>
      <w:pPr>
        <w:spacing w:after="120"/>
      </w:pPr>
    </w:p>
    <w:p>
      <w:pPr>
        <w:spacing w:after="60" w:before="140"/>
      </w:pPr>
      <w:r>
        <w:rPr>
          <w:rFonts w:ascii="Arial" w:cs="Arial" w:eastAsia="Arial" w:hAnsi="Arial"/>
          <w:b/>
          <w:bCs/>
          <w:color w:val="0B1F3A"/>
          <w:sz w:val="21"/>
          <w:szCs w:val="21"/>
        </w:rPr>
        <w:t xml:space="preserve">Legalitas &amp; Sertifikasi Produk</w:t>
      </w:r>
    </w:p>
    <w:p>
      <w:pPr>
        <w:pStyle w:val="ListParagraph"/>
        <w:numPr>
          <w:ilvl w:val="0"/>
          <w:numId w:val="1"/>
        </w:numPr>
        <w:spacing w:after="90"/>
      </w:pPr>
      <w:r>
        <w:rPr>
          <w:rFonts w:ascii="Arial" w:cs="Arial" w:eastAsia="Arial" w:hAnsi="Arial"/>
          <w:color w:val="3A3F47"/>
          <w:sz w:val="20"/>
          <w:szCs w:val="20"/>
        </w:rPr>
        <w:t xml:space="preserve">Sertifikat Merek (HKI) — merek Quarentine terdaftar dan dilindungi</w:t>
      </w:r>
    </w:p>
    <w:p>
      <w:pPr>
        <w:pStyle w:val="ListParagraph"/>
        <w:numPr>
          <w:ilvl w:val="0"/>
          <w:numId w:val="1"/>
        </w:numPr>
        <w:spacing w:after="90"/>
      </w:pPr>
      <w:r>
        <w:rPr>
          <w:rFonts w:ascii="Arial" w:cs="Arial" w:eastAsia="Arial" w:hAnsi="Arial"/>
          <w:color w:val="3A3F47"/>
          <w:sz w:val="20"/>
          <w:szCs w:val="20"/>
        </w:rPr>
        <w:t xml:space="preserve">Sistem manajemen mutu produksi mengacu standar ISO</w:t>
      </w:r>
    </w:p>
    <w:p>
      <w:pPr>
        <w:pStyle w:val="ListParagraph"/>
        <w:numPr>
          <w:ilvl w:val="0"/>
          <w:numId w:val="1"/>
        </w:numPr>
        <w:spacing w:after="90"/>
      </w:pPr>
      <w:r>
        <w:rPr>
          <w:rFonts w:ascii="Arial" w:cs="Arial" w:eastAsia="Arial" w:hAnsi="Arial"/>
          <w:color w:val="3A3F47"/>
          <w:sz w:val="20"/>
          <w:szCs w:val="20"/>
        </w:rPr>
        <w:t xml:space="preserve">Sesuai Standar Nasional Indonesia untuk AMDK (SNI 3553:2015)</w:t>
      </w:r>
    </w:p>
    <w:p>
      <w:pPr>
        <w:pStyle w:val="ListParagraph"/>
        <w:numPr>
          <w:ilvl w:val="0"/>
          <w:numId w:val="1"/>
        </w:numPr>
        <w:spacing w:after="90"/>
      </w:pPr>
      <w:r>
        <w:rPr>
          <w:rFonts w:ascii="Arial" w:cs="Arial" w:eastAsia="Arial" w:hAnsi="Arial"/>
          <w:color w:val="3A3F47"/>
          <w:sz w:val="20"/>
          <w:szCs w:val="20"/>
        </w:rPr>
        <w:t xml:space="preserve">BPOM Produksi (Izin MD) dan BPOM Edar</w:t>
      </w:r>
    </w:p>
    <w:p>
      <w:pPr>
        <w:spacing w:after="60" w:before="140"/>
      </w:pPr>
      <w:r>
        <w:rPr>
          <w:rFonts w:ascii="Arial" w:cs="Arial" w:eastAsia="Arial" w:hAnsi="Arial"/>
          <w:b/>
          <w:bCs/>
          <w:color w:val="0B1F3A"/>
          <w:sz w:val="21"/>
          <w:szCs w:val="21"/>
        </w:rPr>
        <w:t xml:space="preserve">Paket Kemitraan — Member Distributor Se-Indonesia</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i/>
                <w:iCs/>
                <w:color w:val="0B1F3A"/>
                <w:sz w:val="18"/>
                <w:szCs w:val="18"/>
              </w:rPr>
              <w:t xml:space="preserve">PROMO SEPTEMBER 2026 </w:t>
            </w:r>
            <w:r>
              <w:rPr>
                <w:rFonts w:ascii="Arial" w:cs="Arial" w:eastAsia="Arial" w:hAnsi="Arial"/>
                <w:i/>
                <w:iCs/>
                <w:color w:val="3A3F47"/>
                <w:sz w:val="18"/>
                <w:szCs w:val="18"/>
              </w:rPr>
              <w:t xml:space="preserve">Paket investasi </w:t>
            </w:r>
            <w:r>
              <w:rPr>
                <w:rFonts w:ascii="Arial" w:cs="Arial" w:eastAsia="Arial" w:hAnsi="Arial"/>
                <w:b/>
                <w:bCs/>
                <w:i/>
                <w:iCs/>
                <w:color w:val="3A3F47"/>
                <w:sz w:val="18"/>
                <w:szCs w:val="18"/>
              </w:rPr>
              <w:t xml:space="preserve">Rp 50.000.000</w:t>
            </w:r>
            <w:r>
              <w:rPr>
                <w:rFonts w:ascii="Arial" w:cs="Arial" w:eastAsia="Arial" w:hAnsi="Arial"/>
                <w:i/>
                <w:iCs/>
                <w:color w:val="3A3F47"/>
                <w:sz w:val="18"/>
                <w:szCs w:val="18"/>
              </w:rPr>
              <w:t xml:space="preserve"> langsung mendapat produk senilai setara </w:t>
            </w:r>
            <w:r>
              <w:rPr>
                <w:rFonts w:ascii="Arial" w:cs="Arial" w:eastAsia="Arial" w:hAnsi="Arial"/>
                <w:b/>
                <w:bCs/>
                <w:i/>
                <w:iCs/>
                <w:color w:val="3A3F47"/>
                <w:sz w:val="18"/>
                <w:szCs w:val="18"/>
              </w:rPr>
              <w:t xml:space="preserve">Rp 50.000.000</w:t>
            </w:r>
            <w:r>
              <w:rPr>
                <w:rFonts w:ascii="Arial" w:cs="Arial" w:eastAsia="Arial" w:hAnsi="Arial"/>
                <w:i/>
                <w:iCs/>
                <w:color w:val="3A3F47"/>
                <w:sz w:val="18"/>
                <w:szCs w:val="18"/>
              </w:rPr>
              <w:t xml:space="preserve">, ditambah hadiah langsung dan souvenir eksklusif. Hubungi kami melalui WhatsApp 0811-2696-066 untuk info lengkap dan pendaftaran.</w:t>
            </w:r>
          </w:p>
        </w:tc>
      </w:tr>
    </w:tbl>
    <w:p>
      <w:pPr>
        <w:spacing w:after="100"/>
      </w:pPr>
    </w:p>
    <w:p>
      <w:pPr>
        <w:spacing w:after="160"/>
      </w:pPr>
      <w:r>
        <w:rPr>
          <w:rFonts w:ascii="Arial" w:cs="Arial" w:eastAsia="Arial" w:hAnsi="Arial"/>
          <w:color w:val="3A3F47"/>
          <w:sz w:val="20"/>
          <w:szCs w:val="20"/>
        </w:rPr>
        <w:t xml:space="preserve">Untuk kebutuhan pengadaan rutin (kantor, acara, horeka, atau distribusi retail), harga jual per unit/dus menyesuaikan volume order — hubungi tim sales kami untuk penawaran harga grosir.</w:t>
      </w:r>
    </w:p>
    <w:p>
      <w:r>
        <w:br w:type="page"/>
      </w:r>
    </w:p>
    <w:p>
      <w:pPr>
        <w:spacing w:after="220"/>
      </w:pPr>
      <w:r>
        <w:drawing>
          <wp:inline distT="0" distB="0" distL="0" distR="0">
            <wp:extent cx="5905500" cy="1695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905500" cy="1695450"/>
                    </a:xfrm>
                    <a:prstGeom prst="rect">
                      <a:avLst/>
                    </a:prstGeom>
                  </pic:spPr>
                </pic:pic>
              </a:graphicData>
            </a:graphic>
          </wp:inline>
        </w:drawing>
      </w:r>
    </w:p>
    <w:p>
      <w:pPr>
        <w:pStyle w:val="Heading2"/>
        <w:spacing w:after="140" w:before="260"/>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23850" cy="323850"/>
                    </a:xfrm>
                    <a:prstGeom prst="rect">
                      <a:avLst/>
                    </a:prstGeom>
                  </pic:spPr>
                </pic:pic>
              </a:graphicData>
            </a:graphic>
          </wp:inline>
        </w:drawing>
      </w:r>
      <w:r>
        <w:rPr>
          <w:rFonts w:ascii="Arial" w:cs="Arial" w:eastAsia="Arial" w:hAnsi="Arial"/>
          <w:b/>
          <w:bCs/>
          <w:color w:val="0B1F3A"/>
          <w:sz w:val="26"/>
          <w:szCs w:val="26"/>
        </w:rPr>
        <w:t xml:space="preserve">   5. Aplikasi Legalku</w:t>
      </w:r>
    </w:p>
    <w:p>
      <w:pPr>
        <w:spacing w:after="160"/>
      </w:pPr>
      <w:r>
        <w:rPr>
          <w:rFonts w:ascii="Arial" w:cs="Arial" w:eastAsia="Arial" w:hAnsi="Arial"/>
          <w:color w:val="3A3F47"/>
          <w:sz w:val="20"/>
          <w:szCs w:val="20"/>
        </w:rPr>
        <w:t xml:space="preserve">Konsultasi hukum online, pilih advokat &amp; tarif sendiri, se-Indonesia. Aplikasi Legalku adalah platform legal-tech yang tersedia di Google Play Store, menghubungkan masyarakat dengan advokat secara online — pengguna dapat memilih sendiri advokat dan menyepakati tarif konsultasi secara transparan.</w:t>
      </w:r>
    </w:p>
    <w:p>
      <w:pPr>
        <w:spacing w:after="60" w:before="140"/>
      </w:pPr>
      <w:r>
        <w:rPr>
          <w:rFonts w:ascii="Arial" w:cs="Arial" w:eastAsia="Arial" w:hAnsi="Arial"/>
          <w:b/>
          <w:bCs/>
          <w:color w:val="0B1F3A"/>
          <w:sz w:val="21"/>
          <w:szCs w:val="21"/>
        </w:rPr>
        <w:t xml:space="preserve">Fitur Utama</w:t>
      </w:r>
    </w:p>
    <w:p>
      <w:pPr>
        <w:pStyle w:val="ListParagraph"/>
        <w:numPr>
          <w:ilvl w:val="0"/>
          <w:numId w:val="1"/>
        </w:numPr>
        <w:spacing w:after="90"/>
      </w:pPr>
      <w:r>
        <w:rPr>
          <w:rFonts w:ascii="Arial" w:cs="Arial" w:eastAsia="Arial" w:hAnsi="Arial"/>
          <w:color w:val="3A3F47"/>
          <w:sz w:val="20"/>
          <w:szCs w:val="20"/>
        </w:rPr>
        <w:t xml:space="preserve">Pilih sendiri advokat sesuai spesialisasi &amp; lokasi</w:t>
      </w:r>
    </w:p>
    <w:p>
      <w:pPr>
        <w:pStyle w:val="ListParagraph"/>
        <w:numPr>
          <w:ilvl w:val="0"/>
          <w:numId w:val="1"/>
        </w:numPr>
        <w:spacing w:after="90"/>
      </w:pPr>
      <w:r>
        <w:rPr>
          <w:rFonts w:ascii="Arial" w:cs="Arial" w:eastAsia="Arial" w:hAnsi="Arial"/>
          <w:color w:val="3A3F47"/>
          <w:sz w:val="20"/>
          <w:szCs w:val="20"/>
        </w:rPr>
        <w:t xml:space="preserve">Sepakati tarif konsultasi secara transparan, ditentukan sendiri oleh pengguna &amp; advokat</w:t>
      </w:r>
    </w:p>
    <w:p>
      <w:pPr>
        <w:pStyle w:val="ListParagraph"/>
        <w:numPr>
          <w:ilvl w:val="0"/>
          <w:numId w:val="1"/>
        </w:numPr>
        <w:spacing w:after="90"/>
      </w:pPr>
      <w:r>
        <w:rPr>
          <w:rFonts w:ascii="Arial" w:cs="Arial" w:eastAsia="Arial" w:hAnsi="Arial"/>
          <w:color w:val="3A3F47"/>
          <w:sz w:val="20"/>
          <w:szCs w:val="20"/>
        </w:rPr>
        <w:t xml:space="preserve">Konsultasi online kapan saja, di mana saja, melayani seluruh Indonesia</w:t>
      </w:r>
    </w:p>
    <w:p>
      <w:pPr>
        <w:pStyle w:val="ListParagraph"/>
        <w:numPr>
          <w:ilvl w:val="0"/>
          <w:numId w:val="1"/>
        </w:numPr>
        <w:spacing w:after="90"/>
      </w:pPr>
      <w:r>
        <w:rPr>
          <w:rFonts w:ascii="Arial" w:cs="Arial" w:eastAsia="Arial" w:hAnsi="Arial"/>
          <w:color w:val="3A3F47"/>
          <w:sz w:val="20"/>
          <w:szCs w:val="20"/>
        </w:rPr>
        <w:t xml:space="preserve">Tersedia gratis diunduh di Google Play Store</w:t>
      </w:r>
    </w:p>
    <w:p>
      <w:pPr>
        <w:spacing w:after="60" w:before="140"/>
      </w:pPr>
      <w:r>
        <w:rPr>
          <w:rFonts w:ascii="Arial" w:cs="Arial" w:eastAsia="Arial" w:hAnsi="Arial"/>
          <w:b/>
          <w:bCs/>
          <w:color w:val="0B1F3A"/>
          <w:sz w:val="21"/>
          <w:szCs w:val="21"/>
        </w:rPr>
        <w:t xml:space="preserve">Skema Kerja Sama</w:t>
      </w:r>
    </w:p>
    <w:p>
      <w:pPr>
        <w:spacing w:after="160"/>
      </w:pPr>
      <w:r>
        <w:rPr>
          <w:rFonts w:ascii="Arial" w:cs="Arial" w:eastAsia="Arial" w:hAnsi="Arial"/>
          <w:color w:val="3A3F47"/>
          <w:sz w:val="20"/>
          <w:szCs w:val="20"/>
        </w:rPr>
        <w:t xml:space="preserve">Tarif konsultasi ditentukan langsung antara pengguna dan advokat mitra sehingga tidak ada tarif tetap yang dipatok platform. Skema kerja sama bagi advokat mitra maupun peluang kemitraan komersial pada Aplikasi Legalku (mis. kerja sama jaringan advokat, promosi bersama) dapat didiskusikan langsung dengan tim kami.</w:t>
      </w:r>
    </w:p>
    <w:p>
      <w:r>
        <w:br w:type="page"/>
      </w:r>
    </w:p>
    <w:p>
      <w:pPr>
        <w:spacing w:after="220"/>
      </w:pPr>
      <w:r>
        <w:drawing>
          <wp:inline distT="0" distB="0" distL="0" distR="0">
            <wp:extent cx="5905500" cy="1695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905500" cy="1695450"/>
                    </a:xfrm>
                    <a:prstGeom prst="rect">
                      <a:avLst/>
                    </a:prstGeom>
                  </pic:spPr>
                </pic:pic>
              </a:graphicData>
            </a:graphic>
          </wp:inline>
        </w:drawing>
      </w:r>
    </w:p>
    <w:p>
      <w:pPr>
        <w:pStyle w:val="Heading2"/>
        <w:spacing w:after="140" w:before="260"/>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323850" cy="323850"/>
                    </a:xfrm>
                    <a:prstGeom prst="rect">
                      <a:avLst/>
                    </a:prstGeom>
                  </pic:spPr>
                </pic:pic>
              </a:graphicData>
            </a:graphic>
          </wp:inline>
        </w:drawing>
      </w:r>
      <w:r>
        <w:rPr>
          <w:rFonts w:ascii="Arial" w:cs="Arial" w:eastAsia="Arial" w:hAnsi="Arial"/>
          <w:b/>
          <w:bCs/>
          <w:color w:val="0B1F3A"/>
          <w:sz w:val="26"/>
          <w:szCs w:val="26"/>
        </w:rPr>
        <w:t xml:space="preserve">   6. LPK Bahasa Korea &amp; Jepang</w:t>
      </w:r>
    </w:p>
    <w:p>
      <w:pPr>
        <w:spacing w:after="160"/>
      </w:pPr>
      <w:r>
        <w:rPr>
          <w:rFonts w:ascii="Arial" w:cs="Arial" w:eastAsia="Arial" w:hAnsi="Arial"/>
          <w:color w:val="3A3F47"/>
          <w:sz w:val="20"/>
          <w:szCs w:val="20"/>
        </w:rPr>
        <w:t xml:space="preserve">LPK Hanggugo Indonesia adalah lembaga pelatihan kerja resmi di bawah grup PT Legalku Multi Digital, berkedudukan di Banyuputih, Kabupaten Batang, Jawa Tengah, menyediakan kursus Bahasa Korea &amp; Jepang serta jalur kerja resmi Korea G to G dan magang Jepang — tanpa calo atau perantara swasta.</w:t>
      </w:r>
    </w:p>
    <w:p>
      <w:pPr>
        <w:spacing w:after="60" w:before="140"/>
      </w:pPr>
      <w:r>
        <w:rPr>
          <w:rFonts w:ascii="Arial" w:cs="Arial" w:eastAsia="Arial" w:hAnsi="Arial"/>
          <w:b/>
          <w:bCs/>
          <w:color w:val="0B1F3A"/>
          <w:sz w:val="21"/>
          <w:szCs w:val="21"/>
        </w:rPr>
        <w:t xml:space="preserve">Program Utama</w:t>
      </w:r>
    </w:p>
    <w:p>
      <w:pPr>
        <w:pStyle w:val="ListParagraph"/>
        <w:numPr>
          <w:ilvl w:val="0"/>
          <w:numId w:val="1"/>
        </w:numPr>
        <w:spacing w:after="90"/>
      </w:pPr>
      <w:r>
        <w:rPr>
          <w:rFonts w:ascii="Arial" w:cs="Arial" w:eastAsia="Arial" w:hAnsi="Arial"/>
          <w:color w:val="3A3F47"/>
          <w:sz w:val="20"/>
          <w:szCs w:val="20"/>
        </w:rPr>
        <w:t xml:space="preserve">Kursus Bahasa Korea — kelas intensif ±3 bulan, persiapan ujian EPS-TOPIK</w:t>
      </w:r>
    </w:p>
    <w:p>
      <w:pPr>
        <w:pStyle w:val="ListParagraph"/>
        <w:numPr>
          <w:ilvl w:val="0"/>
          <w:numId w:val="1"/>
        </w:numPr>
        <w:spacing w:after="90"/>
      </w:pPr>
      <w:r>
        <w:rPr>
          <w:rFonts w:ascii="Arial" w:cs="Arial" w:eastAsia="Arial" w:hAnsi="Arial"/>
          <w:color w:val="3A3F47"/>
          <w:sz w:val="20"/>
          <w:szCs w:val="20"/>
        </w:rPr>
        <w:t xml:space="preserve">Program Kerja Korea G to G — jalur resmi Pemerintah Indonesia (BP2MI) &amp; Korea Selatan (HRD Korea/MOEL)</w:t>
      </w:r>
    </w:p>
    <w:p>
      <w:pPr>
        <w:pStyle w:val="ListParagraph"/>
        <w:numPr>
          <w:ilvl w:val="0"/>
          <w:numId w:val="1"/>
        </w:numPr>
        <w:spacing w:after="90"/>
      </w:pPr>
      <w:r>
        <w:rPr>
          <w:rFonts w:ascii="Arial" w:cs="Arial" w:eastAsia="Arial" w:hAnsi="Arial"/>
          <w:color w:val="3A3F47"/>
          <w:sz w:val="20"/>
          <w:szCs w:val="20"/>
        </w:rPr>
        <w:t xml:space="preserve">Kursus Bahasa Jepang — kelas intensif ±3 bulan, tata bahasa &amp; komunikasi sehari-hari</w:t>
      </w:r>
    </w:p>
    <w:p>
      <w:pPr>
        <w:pStyle w:val="ListParagraph"/>
        <w:numPr>
          <w:ilvl w:val="0"/>
          <w:numId w:val="1"/>
        </w:numPr>
        <w:spacing w:after="90"/>
      </w:pPr>
      <w:r>
        <w:rPr>
          <w:rFonts w:ascii="Arial" w:cs="Arial" w:eastAsia="Arial" w:hAnsi="Arial"/>
          <w:color w:val="3A3F47"/>
          <w:sz w:val="20"/>
          <w:szCs w:val="20"/>
        </w:rPr>
        <w:t xml:space="preserve">Program Magang Jepang — pendampingan penuh dari pelatihan hingga keberangkatan</w:t>
      </w:r>
    </w:p>
    <w:p>
      <w:pPr>
        <w:spacing w:after="60" w:before="140"/>
      </w:pPr>
      <w:r>
        <w:rPr>
          <w:rFonts w:ascii="Arial" w:cs="Arial" w:eastAsia="Arial" w:hAnsi="Arial"/>
          <w:b/>
          <w:bCs/>
          <w:color w:val="0B1F3A"/>
          <w:sz w:val="21"/>
          <w:szCs w:val="21"/>
        </w:rPr>
        <w:t xml:space="preserve">Estimasi Biaya Program Kerja Korea G to G</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00"/>
        <w:gridCol w:w="6250"/>
      </w:tblGrid>
      <w:tr>
        <w:tc>
          <w:tcPr>
            <w:tcW w:type="dxa" w:w="3100"/>
            <w:shd w:fill="0B1F3A" w:val="clear"/>
            <w:tcMar>
              <w:top w:type="dxa" w:w="110"/>
              <w:left w:type="dxa" w:w="150"/>
              <w:bottom w:type="dxa" w:w="110"/>
              <w:right w:type="dxa" w:w="150"/>
            </w:tcMar>
          </w:tcPr>
          <w:p>
            <w:r>
              <w:rPr>
                <w:rFonts w:ascii="Arial" w:cs="Arial" w:eastAsia="Arial" w:hAnsi="Arial"/>
                <w:b/>
                <w:bCs/>
                <w:color w:val="FFFFFF"/>
                <w:sz w:val="18"/>
                <w:szCs w:val="18"/>
              </w:rPr>
              <w:t xml:space="preserve">Komponen Biaya</w:t>
            </w:r>
          </w:p>
        </w:tc>
        <w:tc>
          <w:tcPr>
            <w:tcW w:type="dxa" w:w="6250"/>
            <w:shd w:fill="0B1F3A" w:val="clear"/>
            <w:tcMar>
              <w:top w:type="dxa" w:w="110"/>
              <w:left w:type="dxa" w:w="150"/>
              <w:bottom w:type="dxa" w:w="110"/>
              <w:right w:type="dxa" w:w="150"/>
            </w:tcMar>
          </w:tcPr>
          <w:p>
            <w:r>
              <w:rPr>
                <w:rFonts w:ascii="Arial" w:cs="Arial" w:eastAsia="Arial" w:hAnsi="Arial"/>
                <w:b/>
                <w:bCs/>
                <w:color w:val="FFFFFF"/>
                <w:sz w:val="18"/>
                <w:szCs w:val="18"/>
              </w:rPr>
              <w:t xml:space="preserve">Estimasi</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Pelatihan Bahasa Korea</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Rp5.000.000</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Try Out CBT EPS-TOPIK</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Rp1.000.000</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Pelatihan Skill Test</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Rp1.000.000</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Biaya Ujian EPS-TOPIK</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Rp500.000</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Paspor, MCU, Administrasi</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Rp1.500.000</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Biaya Penempatan BP2MI (tiket, visa, asuransi, dll.)</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 Rp10.000.000</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Total Estimasi</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bCs/>
                <w:color w:val="3A3F47"/>
                <w:sz w:val="19"/>
                <w:szCs w:val="19"/>
              </w:rPr>
              <w:t xml:space="preserve">± Rp20.000.000</w:t>
            </w:r>
          </w:p>
        </w:tc>
      </w:tr>
    </w:tbl>
    <w:p>
      <w:pPr>
        <w:spacing w:after="100"/>
      </w:pPr>
    </w:p>
    <w:p>
      <w:pPr>
        <w:spacing w:after="160"/>
      </w:pPr>
      <w:r>
        <w:rPr>
          <w:rFonts w:ascii="Arial" w:cs="Arial" w:eastAsia="Arial" w:hAnsi="Arial"/>
          <w:color w:val="3A3F47"/>
          <w:sz w:val="20"/>
          <w:szCs w:val="20"/>
        </w:rPr>
        <w:t xml:space="preserve">Dibayarkan bertahap sesuai proses, </w:t>
      </w:r>
      <w:r>
        <w:rPr>
          <w:rFonts w:ascii="Arial" w:cs="Arial" w:eastAsia="Arial" w:hAnsi="Arial"/>
          <w:b/>
          <w:bCs/>
          <w:color w:val="3A3F47"/>
          <w:sz w:val="20"/>
          <w:szCs w:val="20"/>
        </w:rPr>
        <w:t xml:space="preserve">tanpa potong gaji dan tanpa dana talangan</w:t>
      </w:r>
      <w:r>
        <w:rPr>
          <w:rFonts w:ascii="Arial" w:cs="Arial" w:eastAsia="Arial" w:hAnsi="Arial"/>
          <w:color w:val="3A3F47"/>
          <w:sz w:val="20"/>
          <w:szCs w:val="20"/>
        </w:rPr>
        <w:t xml:space="preserve">. Nominal dapat berubah sewaktu-waktu, mohon konfirmasi terbaru ke tim kami. Estimasi gaji standar bekerja di Korea Selatan melalui jalur ini: ± Rp25.000.000/bulan, dengan kontrak kerja umumnya 3–5 tahun (dapat diperpanjang).</w:t>
      </w:r>
    </w:p>
    <w:p>
      <w:pPr>
        <w:spacing w:after="160"/>
      </w:pPr>
      <w:r>
        <w:rPr>
          <w:rFonts w:ascii="Arial" w:cs="Arial" w:eastAsia="Arial" w:hAnsi="Arial"/>
          <w:color w:val="3A3F47"/>
          <w:sz w:val="20"/>
          <w:szCs w:val="20"/>
        </w:rPr>
        <w:t xml:space="preserve">Untuk Program Magang Jepang, skema biaya diberikan setelah proses seleksi administrasi awal — hubungi kami untuk rincian terbaru.</w:t>
      </w:r>
    </w:p>
    <w:p>
      <w:r>
        <w:br w:type="page"/>
      </w:r>
    </w:p>
    <w:p>
      <w:pPr>
        <w:spacing w:after="80" w:before="60"/>
      </w:pPr>
      <w:r>
        <w:rPr>
          <w:rFonts w:ascii="Arial" w:cs="Arial" w:eastAsia="Arial" w:hAnsi="Arial"/>
          <w:b/>
          <w:bCs/>
          <w:color w:val="C8A24A"/>
          <w:sz w:val="17"/>
          <w:szCs w:val="17"/>
        </w:rPr>
        <w:t xml:space="preserve">PELUANG PASAR</w:t>
      </w:r>
    </w:p>
    <w:p>
      <w:pPr>
        <w:spacing w:after="220"/>
      </w:pPr>
      <w:r>
        <w:drawing>
          <wp:inline distT="0" distB="0" distL="0" distR="0">
            <wp:extent cx="5905500" cy="1495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905500" cy="1495425"/>
                    </a:xfrm>
                    <a:prstGeom prst="rect">
                      <a:avLst/>
                    </a:prstGeom>
                  </pic:spPr>
                </pic:pic>
              </a:graphicData>
            </a:graphic>
          </wp:inline>
        </w:drawing>
      </w:r>
    </w:p>
    <w:p>
      <w:pPr>
        <w:pStyle w:val="Heading1"/>
        <w:spacing w:after="200" w:before="40"/>
      </w:pPr>
      <w:r>
        <w:rPr>
          <w:rFonts w:ascii="Arial" w:cs="Arial" w:eastAsia="Arial" w:hAnsi="Arial"/>
          <w:b/>
          <w:bCs/>
          <w:color w:val="0B1F3A"/>
          <w:sz w:val="32"/>
          <w:szCs w:val="32"/>
        </w:rPr>
        <w:t xml:space="preserve">Data Pasar di Balik Enam Lini Bisnis Kami</w:t>
      </w:r>
    </w:p>
    <w:p>
      <w:pPr>
        <w:spacing w:after="160"/>
      </w:pPr>
      <w:r>
        <w:rPr>
          <w:rFonts w:ascii="Arial" w:cs="Arial" w:eastAsia="Arial" w:hAnsi="Arial"/>
          <w:color w:val="3A3F47"/>
          <w:sz w:val="20"/>
          <w:szCs w:val="20"/>
        </w:rPr>
        <w:t xml:space="preserve">Setiap lini usaha PT Legalku Multi Digital bergerak di sektor dengan permintaan besar dan didukung data pasar berikut, sebagaimana dirangkum dari sumber publik yang tercantum.</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400"/>
        <w:gridCol w:w="4550"/>
        <w:gridCol w:w="2400"/>
      </w:tblGrid>
      <w:tr>
        <w:tc>
          <w:tcPr>
            <w:tcW w:type="dxa" w:w="2400"/>
            <w:shd w:fill="0B1F3A" w:val="clear"/>
            <w:tcMar>
              <w:top w:type="dxa" w:w="110"/>
              <w:left w:type="dxa" w:w="130"/>
              <w:bottom w:type="dxa" w:w="110"/>
              <w:right w:type="dxa" w:w="130"/>
            </w:tcMar>
          </w:tcPr>
          <w:p>
            <w:r>
              <w:rPr>
                <w:rFonts w:ascii="Arial" w:cs="Arial" w:eastAsia="Arial" w:hAnsi="Arial"/>
                <w:b/>
                <w:bCs/>
                <w:color w:val="FFFFFF"/>
                <w:sz w:val="17"/>
                <w:szCs w:val="17"/>
              </w:rPr>
              <w:t xml:space="preserve">Divisi</w:t>
            </w:r>
          </w:p>
        </w:tc>
        <w:tc>
          <w:tcPr>
            <w:tcW w:type="dxa" w:w="4550"/>
            <w:shd w:fill="0B1F3A" w:val="clear"/>
            <w:tcMar>
              <w:top w:type="dxa" w:w="110"/>
              <w:left w:type="dxa" w:w="130"/>
              <w:bottom w:type="dxa" w:w="110"/>
              <w:right w:type="dxa" w:w="130"/>
            </w:tcMar>
          </w:tcPr>
          <w:p>
            <w:r>
              <w:rPr>
                <w:rFonts w:ascii="Arial" w:cs="Arial" w:eastAsia="Arial" w:hAnsi="Arial"/>
                <w:b/>
                <w:bCs/>
                <w:color w:val="FFFFFF"/>
                <w:sz w:val="17"/>
                <w:szCs w:val="17"/>
              </w:rPr>
              <w:t xml:space="preserve">Data Pasar</w:t>
            </w:r>
          </w:p>
        </w:tc>
        <w:tc>
          <w:tcPr>
            <w:tcW w:type="dxa" w:w="2400"/>
            <w:shd w:fill="0B1F3A" w:val="clear"/>
            <w:tcMar>
              <w:top w:type="dxa" w:w="110"/>
              <w:left w:type="dxa" w:w="130"/>
              <w:bottom w:type="dxa" w:w="110"/>
              <w:right w:type="dxa" w:w="130"/>
            </w:tcMar>
          </w:tcPr>
          <w:p>
            <w:r>
              <w:rPr>
                <w:rFonts w:ascii="Arial" w:cs="Arial" w:eastAsia="Arial" w:hAnsi="Arial"/>
                <w:b/>
                <w:bCs/>
                <w:color w:val="FFFFFF"/>
                <w:sz w:val="17"/>
                <w:szCs w:val="17"/>
              </w:rPr>
              <w:t xml:space="preserve">Sumber</w:t>
            </w:r>
          </w:p>
        </w:tc>
      </w:tr>
      <w:tr>
        <w:tc>
          <w:tcPr>
            <w:tcW w:type="dxa" w:w="2400"/>
            <w:tcBorders>
              <w:top w:val="single" w:color="E6E6E3" w:sz="2"/>
              <w:left w:val="single" w:color="E6E6E3" w:sz="2"/>
              <w:bottom w:val="single" w:color="E6E6E3" w:sz="2"/>
              <w:right w:val="single" w:color="E6E6E3" w:sz="2"/>
            </w:tcBorders>
            <w:shd w:fill="FBF6E9" w:val="clear"/>
            <w:tcMar>
              <w:top w:type="dxa" w:w="100"/>
              <w:left w:type="dxa" w:w="130"/>
              <w:bottom w:type="dxa" w:w="100"/>
              <w:right w:type="dxa" w:w="130"/>
            </w:tcMar>
          </w:tcPr>
          <w:p>
            <w:r>
              <w:rPr>
                <w:rFonts w:ascii="Arial" w:cs="Arial" w:eastAsia="Arial" w:hAnsi="Arial"/>
                <w:b/>
                <w:bCs/>
                <w:color w:val="0B1F3A"/>
                <w:sz w:val="17"/>
                <w:szCs w:val="17"/>
              </w:rPr>
              <w:t xml:space="preserve">Jasa Hukum &amp; Aplikasi Legalku</w:t>
            </w:r>
          </w:p>
        </w:tc>
        <w:tc>
          <w:tcPr>
            <w:tcW w:type="dxa" w:w="4550"/>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69.813 advokat terdaftar untuk ±288,3 juta penduduk Indonesia (rasio ideal 1:1.150/tahun)</w:t>
            </w:r>
          </w:p>
        </w:tc>
        <w:tc>
          <w:tcPr>
            <w:tcW w:type="dxa" w:w="2400"/>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Republika/Bamsoet, Des 2025; kajian Bappenas</w:t>
            </w:r>
          </w:p>
        </w:tc>
      </w:tr>
      <w:tr>
        <w:tc>
          <w:tcPr>
            <w:tcW w:type="dxa" w:w="2400"/>
            <w:tcBorders>
              <w:top w:val="single" w:color="E6E6E3" w:sz="2"/>
              <w:left w:val="single" w:color="E6E6E3" w:sz="2"/>
              <w:bottom w:val="single" w:color="E6E6E3" w:sz="2"/>
              <w:right w:val="single" w:color="E6E6E3" w:sz="2"/>
            </w:tcBorders>
            <w:shd w:fill="FBF6E9" w:val="clear"/>
            <w:tcMar>
              <w:top w:type="dxa" w:w="100"/>
              <w:left w:type="dxa" w:w="130"/>
              <w:bottom w:type="dxa" w:w="100"/>
              <w:right w:type="dxa" w:w="130"/>
            </w:tcMar>
          </w:tcPr>
          <w:p>
            <w:r>
              <w:rPr>
                <w:rFonts w:ascii="Arial" w:cs="Arial" w:eastAsia="Arial" w:hAnsi="Arial"/>
                <w:b/>
                <w:bCs/>
                <w:color w:val="0B1F3A"/>
                <w:sz w:val="17"/>
                <w:szCs w:val="17"/>
              </w:rPr>
              <w:t xml:space="preserve">Perizinan Usaha</w:t>
            </w:r>
          </w:p>
        </w:tc>
        <w:tc>
          <w:tcPr>
            <w:tcW w:type="dxa" w:w="4550"/>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30,2 juta unit UMKM non-pertanian, baru 1,22% (368.753 unit) yang memiliki NIB</w:t>
            </w:r>
          </w:p>
        </w:tc>
        <w:tc>
          <w:tcPr>
            <w:tcW w:type="dxa" w:w="2400"/>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SIDT-UMKM per Des 2025 (ukmindonesia.id); data NIB OSS Feb 2026</w:t>
            </w:r>
          </w:p>
        </w:tc>
      </w:tr>
      <w:tr>
        <w:tc>
          <w:tcPr>
            <w:tcW w:type="dxa" w:w="2400"/>
            <w:tcBorders>
              <w:top w:val="single" w:color="E6E6E3" w:sz="2"/>
              <w:left w:val="single" w:color="E6E6E3" w:sz="2"/>
              <w:bottom w:val="single" w:color="E6E6E3" w:sz="2"/>
              <w:right w:val="single" w:color="E6E6E3" w:sz="2"/>
            </w:tcBorders>
            <w:shd w:fill="FBF6E9" w:val="clear"/>
            <w:tcMar>
              <w:top w:type="dxa" w:w="100"/>
              <w:left w:type="dxa" w:w="130"/>
              <w:bottom w:type="dxa" w:w="100"/>
              <w:right w:type="dxa" w:w="130"/>
            </w:tcMar>
          </w:tcPr>
          <w:p>
            <w:r>
              <w:rPr>
                <w:rFonts w:ascii="Arial" w:cs="Arial" w:eastAsia="Arial" w:hAnsi="Arial"/>
                <w:b/>
                <w:bCs/>
                <w:color w:val="0B1F3A"/>
                <w:sz w:val="17"/>
                <w:szCs w:val="17"/>
              </w:rPr>
              <w:t xml:space="preserve">Penerbitan Buku &amp; Jurnal</w:t>
            </w:r>
          </w:p>
        </w:tc>
        <w:tc>
          <w:tcPr>
            <w:tcW w:type="dxa" w:w="4550"/>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128.814 nomor ISBN diterbitkan Perpusnas RI pada 2025 (kisaran 95.000–160.000/tahun 2018–2023)</w:t>
            </w:r>
          </w:p>
        </w:tc>
        <w:tc>
          <w:tcPr>
            <w:tcW w:type="dxa" w:w="2400"/>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Perpustakaan Nasional RI; GoodStats Data</w:t>
            </w:r>
          </w:p>
        </w:tc>
      </w:tr>
      <w:tr>
        <w:tc>
          <w:tcPr>
            <w:tcW w:type="dxa" w:w="2400"/>
            <w:tcBorders>
              <w:top w:val="single" w:color="E6E6E3" w:sz="2"/>
              <w:left w:val="single" w:color="E6E6E3" w:sz="2"/>
              <w:bottom w:val="single" w:color="E6E6E3" w:sz="2"/>
              <w:right w:val="single" w:color="E6E6E3" w:sz="2"/>
            </w:tcBorders>
            <w:shd w:fill="FBF6E9" w:val="clear"/>
            <w:tcMar>
              <w:top w:type="dxa" w:w="100"/>
              <w:left w:type="dxa" w:w="130"/>
              <w:bottom w:type="dxa" w:w="100"/>
              <w:right w:type="dxa" w:w="130"/>
            </w:tcMar>
          </w:tcPr>
          <w:p>
            <w:r>
              <w:rPr>
                <w:rFonts w:ascii="Arial" w:cs="Arial" w:eastAsia="Arial" w:hAnsi="Arial"/>
                <w:b/>
                <w:bCs/>
                <w:color w:val="0B1F3A"/>
                <w:sz w:val="17"/>
                <w:szCs w:val="17"/>
              </w:rPr>
              <w:t xml:space="preserve">Air Mineral Quarentine</w:t>
            </w:r>
          </w:p>
        </w:tc>
        <w:tc>
          <w:tcPr>
            <w:tcW w:type="dxa" w:w="4550"/>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Pasar AMDK nasional 45–46 miliar liter/tahun, proyeksi tumbuh 4–6% pada 2026</w:t>
            </w:r>
          </w:p>
        </w:tc>
        <w:tc>
          <w:tcPr>
            <w:tcW w:type="dxa" w:w="2400"/>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Amdatara, dipublikasikan Kontan.co.id, 2026</w:t>
            </w:r>
          </w:p>
        </w:tc>
      </w:tr>
      <w:tr>
        <w:tc>
          <w:tcPr>
            <w:tcW w:type="dxa" w:w="2400"/>
            <w:tcBorders>
              <w:top w:val="single" w:color="E6E6E3" w:sz="2"/>
              <w:left w:val="single" w:color="E6E6E3" w:sz="2"/>
              <w:bottom w:val="single" w:color="E6E6E3" w:sz="2"/>
              <w:right w:val="single" w:color="E6E6E3" w:sz="2"/>
            </w:tcBorders>
            <w:shd w:fill="FBF6E9" w:val="clear"/>
            <w:tcMar>
              <w:top w:type="dxa" w:w="100"/>
              <w:left w:type="dxa" w:w="130"/>
              <w:bottom w:type="dxa" w:w="100"/>
              <w:right w:type="dxa" w:w="130"/>
            </w:tcMar>
          </w:tcPr>
          <w:p>
            <w:r>
              <w:rPr>
                <w:rFonts w:ascii="Arial" w:cs="Arial" w:eastAsia="Arial" w:hAnsi="Arial"/>
                <w:b/>
                <w:bCs/>
                <w:color w:val="0B1F3A"/>
                <w:sz w:val="17"/>
                <w:szCs w:val="17"/>
              </w:rPr>
              <w:t xml:space="preserve">LPK Korea &amp; Jepang</w:t>
            </w:r>
          </w:p>
        </w:tc>
        <w:tc>
          <w:tcPr>
            <w:tcW w:type="dxa" w:w="4550"/>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Kuota nasional G to G Korea 2026: 2.000 (manufaktur &amp; perikanan); kebutuhan tenaga kerja Jepang ±639.000/tahun global</w:t>
            </w:r>
          </w:p>
        </w:tc>
        <w:tc>
          <w:tcPr>
            <w:tcW w:type="dxa" w:w="2400"/>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KP2MI/Kompas TV; Menteri P2MI/Antara News, 2026</w:t>
            </w:r>
          </w:p>
        </w:tc>
      </w:tr>
    </w:tbl>
    <w:p>
      <w:r>
        <w:br w:type="page"/>
      </w:r>
    </w:p>
    <w:p>
      <w:pPr>
        <w:spacing w:after="80" w:before="60"/>
      </w:pPr>
      <w:r>
        <w:rPr>
          <w:rFonts w:ascii="Arial" w:cs="Arial" w:eastAsia="Arial" w:hAnsi="Arial"/>
          <w:b/>
          <w:bCs/>
          <w:color w:val="C8A24A"/>
          <w:sz w:val="17"/>
          <w:szCs w:val="17"/>
        </w:rPr>
        <w:t xml:space="preserve">PELUANG KEMITRAAN &amp; INVESTASI</w:t>
      </w:r>
    </w:p>
    <w:p>
      <w:pPr>
        <w:pStyle w:val="Heading1"/>
        <w:spacing w:after="200" w:before="40"/>
      </w:pPr>
      <w:r>
        <w:rPr>
          <w:rFonts w:ascii="Arial" w:cs="Arial" w:eastAsia="Arial" w:hAnsi="Arial"/>
          <w:b/>
          <w:bCs/>
          <w:color w:val="0B1F3A"/>
          <w:sz w:val="32"/>
          <w:szCs w:val="32"/>
        </w:rPr>
        <w:t xml:space="preserve">Rencana Investasi Jangka Panjang</w:t>
      </w:r>
    </w:p>
    <w:p>
      <w:pPr>
        <w:spacing w:after="160"/>
      </w:pPr>
      <w:r>
        <w:rPr>
          <w:rFonts w:ascii="Arial" w:cs="Arial" w:eastAsia="Arial" w:hAnsi="Arial"/>
          <w:color w:val="3A3F47"/>
          <w:sz w:val="20"/>
          <w:szCs w:val="20"/>
        </w:rPr>
        <w:t xml:space="preserve">Berikut arah strategis pengembangan usaha di setiap divisi yang akan didukung oleh kemitraan dan investasi yang terjalin, disusun dalam tiga horizon waktu.</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550"/>
        <w:gridCol w:w="3400"/>
        <w:gridCol w:w="3400"/>
      </w:tblGrid>
      <w:tr>
        <w:tc>
          <w:tcPr>
            <w:tcW w:type="dxa" w:w="2550"/>
            <w:shd w:fill="0B1F3A" w:val="clear"/>
            <w:tcMar>
              <w:top w:type="dxa" w:w="110"/>
              <w:left w:type="dxa" w:w="130"/>
              <w:bottom w:type="dxa" w:w="110"/>
              <w:right w:type="dxa" w:w="130"/>
            </w:tcMar>
          </w:tcPr>
          <w:p>
            <w:r>
              <w:rPr>
                <w:rFonts w:ascii="Arial" w:cs="Arial" w:eastAsia="Arial" w:hAnsi="Arial"/>
                <w:b/>
                <w:bCs/>
                <w:color w:val="FFFFFF"/>
                <w:sz w:val="17"/>
                <w:szCs w:val="17"/>
              </w:rPr>
              <w:t xml:space="preserve">Divisi</w:t>
            </w:r>
          </w:p>
        </w:tc>
        <w:tc>
          <w:tcPr>
            <w:tcW w:type="dxa" w:w="3400"/>
            <w:shd w:fill="0B1F3A" w:val="clear"/>
            <w:tcMar>
              <w:top w:type="dxa" w:w="110"/>
              <w:left w:type="dxa" w:w="130"/>
              <w:bottom w:type="dxa" w:w="110"/>
              <w:right w:type="dxa" w:w="130"/>
            </w:tcMar>
          </w:tcPr>
          <w:p>
            <w:r>
              <w:rPr>
                <w:rFonts w:ascii="Arial" w:cs="Arial" w:eastAsia="Arial" w:hAnsi="Arial"/>
                <w:b/>
                <w:bCs/>
                <w:color w:val="FFFFFF"/>
                <w:sz w:val="17"/>
                <w:szCs w:val="17"/>
              </w:rPr>
              <w:t xml:space="preserve">Tahun 1–2</w:t>
            </w:r>
          </w:p>
        </w:tc>
        <w:tc>
          <w:tcPr>
            <w:tcW w:type="dxa" w:w="3400"/>
            <w:shd w:fill="0B1F3A" w:val="clear"/>
            <w:tcMar>
              <w:top w:type="dxa" w:w="110"/>
              <w:left w:type="dxa" w:w="130"/>
              <w:bottom w:type="dxa" w:w="110"/>
              <w:right w:type="dxa" w:w="130"/>
            </w:tcMar>
          </w:tcPr>
          <w:p>
            <w:r>
              <w:rPr>
                <w:rFonts w:ascii="Arial" w:cs="Arial" w:eastAsia="Arial" w:hAnsi="Arial"/>
                <w:b/>
                <w:bCs/>
                <w:color w:val="FFFFFF"/>
                <w:sz w:val="17"/>
                <w:szCs w:val="17"/>
              </w:rPr>
              <w:t xml:space="preserve">Tahun 3–5</w:t>
            </w:r>
          </w:p>
        </w:tc>
      </w:tr>
      <w:tr>
        <w:tc>
          <w:tcPr>
            <w:tcW w:type="dxa" w:w="2550"/>
            <w:tcBorders>
              <w:top w:val="single" w:color="E6E6E3" w:sz="2"/>
              <w:left w:val="single" w:color="E6E6E3" w:sz="2"/>
              <w:bottom w:val="single" w:color="E6E6E3" w:sz="2"/>
              <w:right w:val="single" w:color="E6E6E3" w:sz="2"/>
            </w:tcBorders>
            <w:shd w:fill="FBF6E9" w:val="clear"/>
            <w:tcMar>
              <w:top w:type="dxa" w:w="100"/>
              <w:left w:type="dxa" w:w="130"/>
              <w:bottom w:type="dxa" w:w="100"/>
              <w:right w:type="dxa" w:w="130"/>
            </w:tcMar>
          </w:tcPr>
          <w:p>
            <w:r>
              <w:rPr>
                <w:rFonts w:ascii="Arial" w:cs="Arial" w:eastAsia="Arial" w:hAnsi="Arial"/>
                <w:b/>
                <w:bCs/>
                <w:color w:val="0B1F3A"/>
                <w:sz w:val="17"/>
                <w:szCs w:val="17"/>
              </w:rPr>
              <w:t xml:space="preserve">Jasa Hukum</w:t>
            </w:r>
          </w:p>
        </w:tc>
        <w:tc>
          <w:tcPr>
            <w:tcW w:type="dxa" w:w="3400"/>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Penguatan Layanan Inti</w:t>
            </w:r>
          </w:p>
        </w:tc>
        <w:tc>
          <w:tcPr>
            <w:tcW w:type="dxa" w:w="3400"/>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Perluasan Jaringan &amp; Digitalisasi</w:t>
            </w:r>
          </w:p>
        </w:tc>
      </w:tr>
      <w:tr>
        <w:tc>
          <w:tcPr>
            <w:tcW w:type="dxa" w:w="2550"/>
            <w:tcBorders>
              <w:top w:val="single" w:color="E6E6E3" w:sz="2"/>
              <w:left w:val="single" w:color="E6E6E3" w:sz="2"/>
              <w:bottom w:val="single" w:color="E6E6E3" w:sz="2"/>
              <w:right w:val="single" w:color="E6E6E3" w:sz="2"/>
            </w:tcBorders>
            <w:shd w:fill="FBF6E9" w:val="clear"/>
            <w:tcMar>
              <w:top w:type="dxa" w:w="100"/>
              <w:left w:type="dxa" w:w="130"/>
              <w:bottom w:type="dxa" w:w="100"/>
              <w:right w:type="dxa" w:w="130"/>
            </w:tcMar>
          </w:tcPr>
          <w:p>
            <w:r>
              <w:rPr>
                <w:rFonts w:ascii="Arial" w:cs="Arial" w:eastAsia="Arial" w:hAnsi="Arial"/>
                <w:b/>
                <w:bCs/>
                <w:color w:val="0B1F3A"/>
                <w:sz w:val="17"/>
                <w:szCs w:val="17"/>
              </w:rPr>
              <w:t xml:space="preserve">Perizinan Segala Usaha</w:t>
            </w:r>
          </w:p>
        </w:tc>
        <w:tc>
          <w:tcPr>
            <w:tcW w:type="dxa" w:w="3400"/>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Optimalisasi Layanan Perizinan</w:t>
            </w:r>
          </w:p>
        </w:tc>
        <w:tc>
          <w:tcPr>
            <w:tcW w:type="dxa" w:w="3400"/>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Perluasan Segmen Klien</w:t>
            </w:r>
          </w:p>
        </w:tc>
      </w:tr>
      <w:tr>
        <w:tc>
          <w:tcPr>
            <w:tcW w:type="dxa" w:w="2550"/>
            <w:tcBorders>
              <w:top w:val="single" w:color="E6E6E3" w:sz="2"/>
              <w:left w:val="single" w:color="E6E6E3" w:sz="2"/>
              <w:bottom w:val="single" w:color="E6E6E3" w:sz="2"/>
              <w:right w:val="single" w:color="E6E6E3" w:sz="2"/>
            </w:tcBorders>
            <w:shd w:fill="FBF6E9" w:val="clear"/>
            <w:tcMar>
              <w:top w:type="dxa" w:w="100"/>
              <w:left w:type="dxa" w:w="130"/>
              <w:bottom w:type="dxa" w:w="100"/>
              <w:right w:type="dxa" w:w="130"/>
            </w:tcMar>
          </w:tcPr>
          <w:p>
            <w:r>
              <w:rPr>
                <w:rFonts w:ascii="Arial" w:cs="Arial" w:eastAsia="Arial" w:hAnsi="Arial"/>
                <w:b/>
                <w:bCs/>
                <w:color w:val="0B1F3A"/>
                <w:sz w:val="17"/>
                <w:szCs w:val="17"/>
              </w:rPr>
              <w:t xml:space="preserve">Penerbitan Buku &amp; Jurnal</w:t>
            </w:r>
          </w:p>
        </w:tc>
        <w:tc>
          <w:tcPr>
            <w:tcW w:type="dxa" w:w="3400"/>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Penguatan Layanan Editorial</w:t>
            </w:r>
          </w:p>
        </w:tc>
        <w:tc>
          <w:tcPr>
            <w:tcW w:type="dxa" w:w="3400"/>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Perluasan Jaringan Distribusi</w:t>
            </w:r>
          </w:p>
        </w:tc>
      </w:tr>
      <w:tr>
        <w:tc>
          <w:tcPr>
            <w:tcW w:type="dxa" w:w="2550"/>
            <w:tcBorders>
              <w:top w:val="single" w:color="E6E6E3" w:sz="2"/>
              <w:left w:val="single" w:color="E6E6E3" w:sz="2"/>
              <w:bottom w:val="single" w:color="E6E6E3" w:sz="2"/>
              <w:right w:val="single" w:color="E6E6E3" w:sz="2"/>
            </w:tcBorders>
            <w:shd w:fill="FBF6E9" w:val="clear"/>
            <w:tcMar>
              <w:top w:type="dxa" w:w="100"/>
              <w:left w:type="dxa" w:w="130"/>
              <w:bottom w:type="dxa" w:w="100"/>
              <w:right w:type="dxa" w:w="130"/>
            </w:tcMar>
          </w:tcPr>
          <w:p>
            <w:r>
              <w:rPr>
                <w:rFonts w:ascii="Arial" w:cs="Arial" w:eastAsia="Arial" w:hAnsi="Arial"/>
                <w:b/>
                <w:bCs/>
                <w:color w:val="0B1F3A"/>
                <w:sz w:val="17"/>
                <w:szCs w:val="17"/>
              </w:rPr>
              <w:t xml:space="preserve">Air Mineral Quarentine</w:t>
            </w:r>
          </w:p>
        </w:tc>
        <w:tc>
          <w:tcPr>
            <w:tcW w:type="dxa" w:w="3400"/>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Penguatan Produksi &amp; Legalitas</w:t>
            </w:r>
          </w:p>
        </w:tc>
        <w:tc>
          <w:tcPr>
            <w:tcW w:type="dxa" w:w="3400"/>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Perluasan Kapasitas &amp; Distribusi</w:t>
            </w:r>
          </w:p>
        </w:tc>
      </w:tr>
      <w:tr>
        <w:tc>
          <w:tcPr>
            <w:tcW w:type="dxa" w:w="2550"/>
            <w:tcBorders>
              <w:top w:val="single" w:color="E6E6E3" w:sz="2"/>
              <w:left w:val="single" w:color="E6E6E3" w:sz="2"/>
              <w:bottom w:val="single" w:color="E6E6E3" w:sz="2"/>
              <w:right w:val="single" w:color="E6E6E3" w:sz="2"/>
            </w:tcBorders>
            <w:shd w:fill="FBF6E9" w:val="clear"/>
            <w:tcMar>
              <w:top w:type="dxa" w:w="100"/>
              <w:left w:type="dxa" w:w="130"/>
              <w:bottom w:type="dxa" w:w="100"/>
              <w:right w:type="dxa" w:w="130"/>
            </w:tcMar>
          </w:tcPr>
          <w:p>
            <w:r>
              <w:rPr>
                <w:rFonts w:ascii="Arial" w:cs="Arial" w:eastAsia="Arial" w:hAnsi="Arial"/>
                <w:b/>
                <w:bCs/>
                <w:color w:val="0B1F3A"/>
                <w:sz w:val="17"/>
                <w:szCs w:val="17"/>
              </w:rPr>
              <w:t xml:space="preserve">Aplikasi Legalku</w:t>
            </w:r>
          </w:p>
        </w:tc>
        <w:tc>
          <w:tcPr>
            <w:tcW w:type="dxa" w:w="3400"/>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Penguatan Platform</w:t>
            </w:r>
          </w:p>
        </w:tc>
        <w:tc>
          <w:tcPr>
            <w:tcW w:type="dxa" w:w="3400"/>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Perluasan Jaringan Advokat Mitra</w:t>
            </w:r>
          </w:p>
        </w:tc>
      </w:tr>
      <w:tr>
        <w:tc>
          <w:tcPr>
            <w:tcW w:type="dxa" w:w="2550"/>
            <w:tcBorders>
              <w:top w:val="single" w:color="E6E6E3" w:sz="2"/>
              <w:left w:val="single" w:color="E6E6E3" w:sz="2"/>
              <w:bottom w:val="single" w:color="E6E6E3" w:sz="2"/>
              <w:right w:val="single" w:color="E6E6E3" w:sz="2"/>
            </w:tcBorders>
            <w:shd w:fill="FBF6E9" w:val="clear"/>
            <w:tcMar>
              <w:top w:type="dxa" w:w="100"/>
              <w:left w:type="dxa" w:w="130"/>
              <w:bottom w:type="dxa" w:w="100"/>
              <w:right w:type="dxa" w:w="130"/>
            </w:tcMar>
          </w:tcPr>
          <w:p>
            <w:r>
              <w:rPr>
                <w:rFonts w:ascii="Arial" w:cs="Arial" w:eastAsia="Arial" w:hAnsi="Arial"/>
                <w:b/>
                <w:bCs/>
                <w:color w:val="0B1F3A"/>
                <w:sz w:val="17"/>
                <w:szCs w:val="17"/>
              </w:rPr>
              <w:t xml:space="preserve">LPK Korea &amp; Jepang</w:t>
            </w:r>
          </w:p>
        </w:tc>
        <w:tc>
          <w:tcPr>
            <w:tcW w:type="dxa" w:w="3400"/>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Penguatan Kapasitas Pelatihan</w:t>
            </w:r>
          </w:p>
        </w:tc>
        <w:tc>
          <w:tcPr>
            <w:tcW w:type="dxa" w:w="3400"/>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Perluasan Kuota &amp; Sektor</w:t>
            </w:r>
          </w:p>
        </w:tc>
      </w:tr>
    </w:tbl>
    <w:p>
      <w:pPr>
        <w:spacing w:after="120"/>
      </w:pPr>
    </w:p>
    <w:p>
      <w:pPr>
        <w:spacing w:after="160"/>
      </w:pPr>
      <w:r>
        <w:rPr>
          <w:rFonts w:ascii="Arial" w:cs="Arial" w:eastAsia="Arial" w:hAnsi="Arial"/>
          <w:color w:val="3A3F47"/>
          <w:sz w:val="20"/>
          <w:szCs w:val="20"/>
        </w:rPr>
        <w:t xml:space="preserve">Pada horizon </w:t>
      </w:r>
      <w:r>
        <w:rPr>
          <w:rFonts w:ascii="Arial" w:cs="Arial" w:eastAsia="Arial" w:hAnsi="Arial"/>
          <w:b/>
          <w:bCs/>
          <w:color w:val="3A3F47"/>
          <w:sz w:val="20"/>
          <w:szCs w:val="20"/>
        </w:rPr>
        <w:t xml:space="preserve">Tahun 5+</w:t>
      </w:r>
      <w:r>
        <w:rPr>
          <w:rFonts w:ascii="Arial" w:cs="Arial" w:eastAsia="Arial" w:hAnsi="Arial"/>
          <w:color w:val="3A3F47"/>
          <w:sz w:val="20"/>
          <w:szCs w:val="20"/>
        </w:rPr>
        <w:t xml:space="preserve">, seluruh divisi diarahkan menuju pertumbuhan berkelanjutan: perluasan kemitraan strategis dan segmen korporasi (Jasa Hukum &amp; Perizinan), ekosistem penerbitan terpadu (Penerbitan), penetrasi pasar korporasi &amp; horeka (Air Mineral), ekspansi pengguna se-Indonesia (Aplikasi Legalku), serta membangun jaringan alumni &amp; reputasi (LPK Korea &amp; Jepang).</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sz w:val="2"/>
                <w:szCs w:val="2"/>
              </w:rPr>
              <w:t xml:space="preserve"/>
            </w:r>
            <w:r>
              <w:rPr>
                <w:rFonts w:ascii="Arial" w:cs="Arial" w:eastAsia="Arial" w:hAnsi="Arial"/>
                <w:i/>
                <w:iCs/>
                <w:color w:val="3A3F47"/>
                <w:sz w:val="18"/>
                <w:szCs w:val="18"/>
              </w:rPr>
              <w:t xml:space="preserve">Rencana ini merupakan arah strategis perusahaan dan dapat menyesuaikan kondisi pasar; bukan merupakan jaminan hasil atau imbal investasi tertentu.</w:t>
            </w:r>
          </w:p>
        </w:tc>
      </w:tr>
    </w:tbl>
    <w:p>
      <w:r>
        <w:br w:type="page"/>
      </w:r>
    </w:p>
    <w:p>
      <w:pPr>
        <w:spacing w:after="80" w:before="60"/>
      </w:pPr>
      <w:r>
        <w:rPr>
          <w:rFonts w:ascii="Arial" w:cs="Arial" w:eastAsia="Arial" w:hAnsi="Arial"/>
          <w:b/>
          <w:bCs/>
          <w:color w:val="C8A24A"/>
          <w:sz w:val="17"/>
          <w:szCs w:val="17"/>
        </w:rPr>
        <w:t xml:space="preserve">SYARAT &amp; KETENTUAN</w:t>
      </w:r>
    </w:p>
    <w:p>
      <w:pPr>
        <w:pStyle w:val="Heading1"/>
        <w:spacing w:after="200" w:before="40"/>
      </w:pPr>
      <w:r>
        <w:rPr>
          <w:rFonts w:ascii="Arial" w:cs="Arial" w:eastAsia="Arial" w:hAnsi="Arial"/>
          <w:b/>
          <w:bCs/>
          <w:color w:val="0B1F3A"/>
          <w:sz w:val="32"/>
          <w:szCs w:val="32"/>
        </w:rPr>
        <w:t xml:space="preserve">Syarat &amp; Ketentuan Umum Penawaran</w:t>
      </w:r>
    </w:p>
    <w:p>
      <w:pPr>
        <w:pStyle w:val="ListParagraph"/>
        <w:numPr>
          <w:ilvl w:val="0"/>
          <w:numId w:val="1"/>
        </w:numPr>
        <w:spacing w:after="90"/>
      </w:pPr>
      <w:r>
        <w:rPr>
          <w:rFonts w:ascii="Arial" w:cs="Arial" w:eastAsia="Arial" w:hAnsi="Arial"/>
          <w:color w:val="3A3F47"/>
          <w:sz w:val="20"/>
          <w:szCs w:val="20"/>
        </w:rPr>
        <w:t xml:space="preserve">Penawaran ini berlaku selama 30 (tiga puluh) hari kalender sejak tanggal dokumen ini diterbitkan, kecuali dinyatakan lain secara tertulis oleh PT Legalku Multi Digital.</w:t>
      </w:r>
    </w:p>
    <w:p>
      <w:pPr>
        <w:pStyle w:val="ListParagraph"/>
        <w:numPr>
          <w:ilvl w:val="0"/>
          <w:numId w:val="1"/>
        </w:numPr>
        <w:spacing w:after="90"/>
      </w:pPr>
      <w:r>
        <w:rPr>
          <w:rFonts w:ascii="Arial" w:cs="Arial" w:eastAsia="Arial" w:hAnsi="Arial"/>
          <w:color w:val="3A3F47"/>
          <w:sz w:val="20"/>
          <w:szCs w:val="20"/>
        </w:rPr>
        <w:t xml:space="preserve">Skema biaya untuk layanan yang belum mencantumkan angka pasti (Jasa Hukum, Perizinan Segala Usaha, Penerbitan Buku &amp; Jurnal, dan Aplikasi Legalku) akan diberikan secara tertulis setelah tahap konsultasi/kajian awal, menyesuaikan ruang lingkup dan kompleksitas kebutuhan masing-masing klien.</w:t>
      </w:r>
    </w:p>
    <w:p>
      <w:pPr>
        <w:pStyle w:val="ListParagraph"/>
        <w:numPr>
          <w:ilvl w:val="0"/>
          <w:numId w:val="1"/>
        </w:numPr>
        <w:spacing w:after="90"/>
      </w:pPr>
      <w:r>
        <w:rPr>
          <w:rFonts w:ascii="Arial" w:cs="Arial" w:eastAsia="Arial" w:hAnsi="Arial"/>
          <w:color w:val="3A3F47"/>
          <w:sz w:val="20"/>
          <w:szCs w:val="20"/>
        </w:rPr>
        <w:t xml:space="preserve">Nominal biaya pada divisi Air Mineral Quarentine dan LPK Bahasa Korea &amp; Jepang bersifat estimasi dan dapat berubah sewaktu-waktu; konfirmasi angka terbaru dilakukan langsung bersama tim kami sebelum kesepakatan final.</w:t>
      </w:r>
    </w:p>
    <w:p>
      <w:pPr>
        <w:pStyle w:val="ListParagraph"/>
        <w:numPr>
          <w:ilvl w:val="0"/>
          <w:numId w:val="1"/>
        </w:numPr>
        <w:spacing w:after="90"/>
      </w:pPr>
      <w:r>
        <w:rPr>
          <w:rFonts w:ascii="Arial" w:cs="Arial" w:eastAsia="Arial" w:hAnsi="Arial"/>
          <w:color w:val="3A3F47"/>
          <w:sz w:val="20"/>
          <w:szCs w:val="20"/>
        </w:rPr>
        <w:t xml:space="preserve">Setiap bentuk kerja sama, kemitraan, atau investasi dituangkan dalam perjanjian tertulis (MoU/kontrak kerja sama) yang mengatur hak, kewajiban, jadwal pembayaran, dan mekanisme pelaporan kedua belah pihak.</w:t>
      </w:r>
    </w:p>
    <w:p>
      <w:pPr>
        <w:pStyle w:val="ListParagraph"/>
        <w:numPr>
          <w:ilvl w:val="0"/>
          <w:numId w:val="1"/>
        </w:numPr>
        <w:spacing w:after="90"/>
      </w:pPr>
      <w:r>
        <w:rPr>
          <w:rFonts w:ascii="Arial" w:cs="Arial" w:eastAsia="Arial" w:hAnsi="Arial"/>
          <w:color w:val="3A3F47"/>
          <w:sz w:val="20"/>
          <w:szCs w:val="20"/>
        </w:rPr>
        <w:t xml:space="preserve">Dokumen ini bersifat rahasia dan disiapkan untuk keperluan diskusi awal dengan penerima yang dituju; tidak untuk disebarluaskan tanpa izin tertulis dari PT Legalku Multi Digital.</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i/>
                <w:iCs/>
                <w:color w:val="0B1F3A"/>
                <w:sz w:val="18"/>
                <w:szCs w:val="18"/>
              </w:rPr>
              <w:t xml:space="preserve">Disclaimer. </w:t>
            </w:r>
            <w:r>
              <w:rPr>
                <w:rFonts w:ascii="Arial" w:cs="Arial" w:eastAsia="Arial" w:hAnsi="Arial"/>
                <w:i/>
                <w:iCs/>
                <w:color w:val="3A3F47"/>
                <w:sz w:val="18"/>
                <w:szCs w:val="18"/>
              </w:rPr>
              <w:t xml:space="preserve">Dokumen ini bersifat informatif dan bukan merupakan jaminan hasil usaha, penawaran investasi resmi, maupun nasihat keuangan atau hukum. Data dan angka pasar yang dicantumkan bersifat estimasi berdasarkan sumber publik yang disebutkan, bukan proyeksi keuangan resmi perusahaan. Setiap keputusan kerja sama, pembelian, atau investasi sebaiknya didasarkan pada uji tuntas (due diligence) mandiri oleh calon klien/mitra/investor. Informasi lebih rinci mengenai kinerja usaha akan disampaikan pada tahap due diligence.</w:t>
            </w:r>
          </w:p>
        </w:tc>
      </w:tr>
    </w:tbl>
    <w:p>
      <w:r>
        <w:br w:type="page"/>
      </w:r>
    </w:p>
    <w:p>
      <w:pPr>
        <w:spacing w:after="80" w:before="60"/>
      </w:pPr>
      <w:r>
        <w:rPr>
          <w:rFonts w:ascii="Arial" w:cs="Arial" w:eastAsia="Arial" w:hAnsi="Arial"/>
          <w:b/>
          <w:bCs/>
          <w:color w:val="C8A24A"/>
          <w:sz w:val="17"/>
          <w:szCs w:val="17"/>
        </w:rPr>
        <w:t xml:space="preserve">MARI BERDISKUSI</w:t>
      </w:r>
    </w:p>
    <w:p>
      <w:pPr>
        <w:spacing w:after="220"/>
      </w:pPr>
      <w:r>
        <w:drawing>
          <wp:inline distT="0" distB="0" distL="0" distR="0">
            <wp:extent cx="5905500" cy="1657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905500" cy="1657350"/>
                    </a:xfrm>
                    <a:prstGeom prst="rect">
                      <a:avLst/>
                    </a:prstGeom>
                  </pic:spPr>
                </pic:pic>
              </a:graphicData>
            </a:graphic>
          </wp:inline>
        </w:drawing>
      </w:r>
    </w:p>
    <w:p>
      <w:pPr>
        <w:pStyle w:val="Heading1"/>
        <w:spacing w:after="200" w:before="40"/>
      </w:pPr>
      <w:r>
        <w:rPr>
          <w:rFonts w:ascii="Arial" w:cs="Arial" w:eastAsia="Arial" w:hAnsi="Arial"/>
          <w:b/>
          <w:bCs/>
          <w:color w:val="0B1F3A"/>
          <w:sz w:val="32"/>
          <w:szCs w:val="32"/>
        </w:rPr>
        <w:t xml:space="preserve">Wujudkan Kerja Sama Ini Bersama Kami</w:t>
      </w:r>
    </w:p>
    <w:p>
      <w:pPr>
        <w:spacing w:after="160"/>
        <w:jc w:val="both"/>
      </w:pPr>
      <w:r>
        <w:rPr>
          <w:rFonts w:ascii="Arial" w:cs="Arial" w:eastAsia="Arial" w:hAnsi="Arial"/>
          <w:color w:val="3A3F47"/>
          <w:sz w:val="20"/>
          <w:szCs w:val="20"/>
        </w:rPr>
        <w:t xml:space="preserve">Kami terbuka untuk diskusi lebih lanjut mengenai kebutuhan layanan, peluang kemitraan, maupun investasi pada salah satu atau beberapa lini bisnis PT Legalku Multi Digital. Hubungi kami untuk menjadwalkan konsultasi awal atau presentasi lebih rinci.</w:t>
      </w:r>
    </w:p>
    <w:p>
      <w:pPr>
        <w:spacing w:after="160"/>
      </w:pPr>
    </w:p>
    <w:p>
      <w:pPr>
        <w:spacing w:after="60"/>
      </w:pPr>
      <w:r>
        <w:rPr>
          <w:rFonts w:ascii="Arial" w:cs="Arial" w:eastAsia="Arial" w:hAnsi="Arial"/>
          <w:b/>
          <w:bCs/>
          <w:color w:val="0B1F3A"/>
          <w:sz w:val="20"/>
          <w:szCs w:val="20"/>
        </w:rPr>
        <w:t xml:space="preserve">WhatsApp / Telepon: </w:t>
      </w:r>
      <w:r>
        <w:rPr>
          <w:rFonts w:ascii="Arial" w:cs="Arial" w:eastAsia="Arial" w:hAnsi="Arial"/>
          <w:sz w:val="20"/>
          <w:szCs w:val="20"/>
        </w:rPr>
        <w:t xml:space="preserve">0811-2696-066</w:t>
      </w:r>
    </w:p>
    <w:p>
      <w:pPr>
        <w:spacing w:after="60"/>
      </w:pPr>
      <w:r>
        <w:rPr>
          <w:rFonts w:ascii="Arial" w:cs="Arial" w:eastAsia="Arial" w:hAnsi="Arial"/>
          <w:b/>
          <w:bCs/>
          <w:color w:val="0B1F3A"/>
          <w:sz w:val="20"/>
          <w:szCs w:val="20"/>
        </w:rPr>
        <w:t xml:space="preserve">Email: </w:t>
      </w:r>
      <w:r>
        <w:rPr>
          <w:rFonts w:ascii="Arial" w:cs="Arial" w:eastAsia="Arial" w:hAnsi="Arial"/>
          <w:sz w:val="20"/>
          <w:szCs w:val="20"/>
        </w:rPr>
        <w:t xml:space="preserve">adm@legalku.co.id</w:t>
      </w:r>
    </w:p>
    <w:p>
      <w:pPr>
        <w:spacing w:after="60"/>
      </w:pPr>
      <w:r>
        <w:rPr>
          <w:rFonts w:ascii="Arial" w:cs="Arial" w:eastAsia="Arial" w:hAnsi="Arial"/>
          <w:b/>
          <w:bCs/>
          <w:color w:val="0B1F3A"/>
          <w:sz w:val="20"/>
          <w:szCs w:val="20"/>
        </w:rPr>
        <w:t xml:space="preserve">Website: </w:t>
      </w:r>
      <w:r>
        <w:rPr>
          <w:rFonts w:ascii="Arial" w:cs="Arial" w:eastAsia="Arial" w:hAnsi="Arial"/>
          <w:sz w:val="20"/>
          <w:szCs w:val="20"/>
        </w:rPr>
        <w:t xml:space="preserve">www.legalku.org</w:t>
      </w:r>
    </w:p>
    <w:p>
      <w:pPr>
        <w:spacing w:after="60"/>
      </w:pPr>
      <w:r>
        <w:rPr>
          <w:rFonts w:ascii="Arial" w:cs="Arial" w:eastAsia="Arial" w:hAnsi="Arial"/>
          <w:b/>
          <w:bCs/>
          <w:color w:val="0B1F3A"/>
          <w:sz w:val="20"/>
          <w:szCs w:val="20"/>
        </w:rPr>
        <w:t xml:space="preserve">Alamat: </w:t>
      </w:r>
      <w:r>
        <w:rPr>
          <w:rFonts w:ascii="Arial" w:cs="Arial" w:eastAsia="Arial" w:hAnsi="Arial"/>
          <w:sz w:val="20"/>
          <w:szCs w:val="20"/>
        </w:rPr>
        <w:t xml:space="preserve">Jl. Taman Flamboyan Raya No. 26, Pedurungan Lor, Kota Semarang, Jawa Tengah 50192</w:t>
      </w:r>
    </w:p>
    <w:p>
      <w:pPr>
        <w:spacing w:after="60"/>
      </w:pPr>
      <w:r>
        <w:rPr>
          <w:rFonts w:ascii="Arial" w:cs="Arial" w:eastAsia="Arial" w:hAnsi="Arial"/>
          <w:b/>
          <w:bCs/>
          <w:color w:val="0B1F3A"/>
          <w:sz w:val="20"/>
          <w:szCs w:val="20"/>
        </w:rPr>
        <w:t xml:space="preserve">Jam Operasional: </w:t>
      </w:r>
      <w:r>
        <w:rPr>
          <w:rFonts w:ascii="Arial" w:cs="Arial" w:eastAsia="Arial" w:hAnsi="Arial"/>
          <w:sz w:val="20"/>
          <w:szCs w:val="20"/>
        </w:rPr>
        <w:t xml:space="preserve">Senin–Jumat, 08.00–17.00 WIB</w:t>
      </w:r>
    </w:p>
    <w:p>
      <w:pPr>
        <w:spacing w:after="200"/>
      </w:pPr>
    </w:p>
    <w:p>
      <w:pPr>
        <w:spacing w:after="160"/>
      </w:pPr>
      <w:r>
        <w:rPr>
          <w:rFonts w:ascii="Arial" w:cs="Arial" w:eastAsia="Arial" w:hAnsi="Arial"/>
          <w:i/>
          <w:iCs/>
          <w:color w:val="3A3F47"/>
          <w:sz w:val="18"/>
          <w:szCs w:val="18"/>
        </w:rPr>
        <w:t xml:space="preserve">Dokumen ini disiapkan oleh PT Legalku Multi Digital untuk keperluan diskusi awal dengan calon klien, mitra usaha, dan investor. Terima kasih atas waktu dan perhatian Anda.</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Halaman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dari </w:t>
    </w:r>
    <w:r>
      <w:rPr>
        <w:rFonts w:ascii="Arial" w:cs="Arial" w:eastAsia="Arial" w:hAnsi="Arial"/>
        <w:color w:val="9AA5B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PROPOSAL PENAWARAN KERJA SAMA &amp; INVESTASI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0316c3375e07790a6ec8503c500827fb9abfa22a.png"/><Relationship Id="rId10" Type="http://schemas.openxmlformats.org/officeDocument/2006/relationships/image" Target="media/678d9d28703a5201edfb3e5549c5d1cef45b46cd.jpg"/><Relationship Id="rId11" Type="http://schemas.openxmlformats.org/officeDocument/2006/relationships/image" Target="media/1067ea4105e1dc8925505fb329d13a6df6157c13.jpg"/><Relationship Id="rId12" Type="http://schemas.openxmlformats.org/officeDocument/2006/relationships/image" Target="media/3dbc8274eec0ef2c7756ca1f0aff2a8ec2a2ce8b.png"/><Relationship Id="rId13" Type="http://schemas.openxmlformats.org/officeDocument/2006/relationships/image" Target="media/daec40a401d6f6d97650c529581eade3ced247d2.png"/><Relationship Id="rId14" Type="http://schemas.openxmlformats.org/officeDocument/2006/relationships/image" Target="media/3d2b6105a35551f6128741b0988eb2b5b0e232b6.png"/><Relationship Id="rId15" Type="http://schemas.openxmlformats.org/officeDocument/2006/relationships/image" Target="media/88e41d6cb499e95d664c88d799ed36b6eda337ce.png"/><Relationship Id="rId16" Type="http://schemas.openxmlformats.org/officeDocument/2006/relationships/image" Target="media/bc03f54dc838667524de41ab0deaa6946aff7ebf.png"/><Relationship Id="rId17" Type="http://schemas.openxmlformats.org/officeDocument/2006/relationships/image" Target="media/6e0429725bab48b7aad2e43146e508caa0fe8958.png"/><Relationship Id="rId18" Type="http://schemas.openxmlformats.org/officeDocument/2006/relationships/image" Target="media/22bc4c301d84110a599d4bef6f53d53b0280a3e7.jpg"/><Relationship Id="rId19" Type="http://schemas.openxmlformats.org/officeDocument/2006/relationships/image" Target="media/a9d54798b973e52e5aae859cb24120358b83aa0e.png"/><Relationship Id="rId20" Type="http://schemas.openxmlformats.org/officeDocument/2006/relationships/image" Target="media/a798e72d731ed173a6ce6dc54c49e211424d2d09.jpg"/><Relationship Id="rId21" Type="http://schemas.openxmlformats.org/officeDocument/2006/relationships/image" Target="media/a915df0c6aafa4d85611d7af8624240e4e2e93d2.png"/><Relationship Id="rId22" Type="http://schemas.openxmlformats.org/officeDocument/2006/relationships/image" Target="media/51e6ada09e346a5848cba042ac70d20d5d1e1193.jpg"/><Relationship Id="rId23" Type="http://schemas.openxmlformats.org/officeDocument/2006/relationships/image" Target="media/edb5dd2abc40fbf8cbc0fb71b11d7d4a76e94474.png"/><Relationship Id="rId24" Type="http://schemas.openxmlformats.org/officeDocument/2006/relationships/image" Target="media/cfad005229be98519c33cd56939c922a9ba54b19.jpg"/><Relationship Id="rId25" Type="http://schemas.openxmlformats.org/officeDocument/2006/relationships/image" Target="media/cdd312172eee573e476a5d4c76850b037ccf56a9.png"/><Relationship Id="rId26" Type="http://schemas.openxmlformats.org/officeDocument/2006/relationships/image" Target="media/4988b0a3fe828c92ec1e3498288e65422bc5fa04.jpg"/><Relationship Id="rId27" Type="http://schemas.openxmlformats.org/officeDocument/2006/relationships/image" Target="media/619f5b814e9262c1dafeb49558483f752fa1421e.png"/><Relationship Id="rId28" Type="http://schemas.openxmlformats.org/officeDocument/2006/relationships/image" Target="media/7d806c9662d6ca563549d1dc3b3c3b870675733b.jpg"/><Relationship Id="rId29" Type="http://schemas.openxmlformats.org/officeDocument/2006/relationships/image" Target="media/0875ba635d55b07b65cdc4f858c2faa4229161c9.png"/><Relationship Id="rId30" Type="http://schemas.openxmlformats.org/officeDocument/2006/relationships/image" Target="media/28c238c00659bdfa508b067036648387975f96c0.jpg"/><Relationship Id="rId31" Type="http://schemas.openxmlformats.org/officeDocument/2006/relationships/image" Target="media/21c2dc685ec470a637266d811a92c380a0a9572d.jp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Penawaran Kerja Sama &amp; Peluang Investasi</dc:title>
  <dc:subject>Proposal Penawaran Kerja Sama, Harga Layanan &amp; Peluang Investasi - PT Legalku Multi Digital, Semarang, Indonesia.</dc:subject>
  <dc:creator>PT Legalku Multi Digital</dc:creator>
  <cp:keywords>proposal penawaran harga, company profile, PT Legalku Multi Digital, peluang investasi, kemitraan usaha, Semarang</cp:keywords>
  <dc:description>Company profile, daftar layanan enam divisi, skema penawaran harga, data peluang pasar, dan peluang kemitraan/investasi PT Legalku Multi Digital.</dc:description>
  <cp:lastModifiedBy>PT Legalku Multi Digital</cp:lastModifiedBy>
  <cp:revision>1</cp:revision>
  <dcterms:created xsi:type="dcterms:W3CDTF">2026-09-03T03:19:47.673Z</dcterms:created>
  <dcterms:modified xsi:type="dcterms:W3CDTF">2026-09-03T03:19:47.674Z</dcterms:modified>
</cp:coreProperties>
</file>

<file path=docProps/custom.xml><?xml version="1.0" encoding="utf-8"?>
<Properties xmlns="http://schemas.openxmlformats.org/officeDocument/2006/custom-properties" xmlns:vt="http://schemas.openxmlformats.org/officeDocument/2006/docPropsVTypes"/>
</file>