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33400" cy="533400"/>
                          </a:xfrm>
                          <a:prstGeom prst="rect">
                            <a:avLst/>
                          </a:prstGeom>
                        </pic:spPr>
                      </pic:pic>
                    </a:graphicData>
                  </a:graphic>
                </wp:inline>
              </w:drawing>
            </w:r>
          </w:p>
          <w:p>
            <w:pPr>
              <w:spacing w:after="200"/>
            </w:pPr>
            <w:r>
              <w:rPr>
                <w:rFonts w:ascii="Arial" w:cs="Arial" w:eastAsia="Arial" w:hAnsi="Arial"/>
                <w:b/>
                <w:bCs/>
                <w:color w:val="FFFFFF"/>
                <w:sz w:val="20"/>
                <w:szCs w:val="20"/>
              </w:rPr>
              <w:t xml:space="preserve">PT LEGALKU MULTI DIGITAL</w:t>
            </w:r>
          </w:p>
          <w:p>
            <w:pPr>
              <w:spacing w:after="3000"/>
            </w:pPr>
            <w:r>
              <w:rPr>
                <w:rFonts w:ascii="Arial" w:cs="Arial" w:eastAsia="Arial" w:hAnsi="Arial"/>
                <w:color w:val="9FB0CC"/>
                <w:sz w:val="17"/>
                <w:szCs w:val="17"/>
              </w:rPr>
              <w:t xml:space="preserve">Investor Pitch Deck  ·  September 2026</w:t>
            </w:r>
          </w:p>
          <w:p>
            <w:pPr>
              <w:spacing w:after="220"/>
            </w:pPr>
            <w:r>
              <w:rPr>
                <w:rFonts w:ascii="Arial" w:cs="Arial" w:eastAsia="Arial" w:hAnsi="Arial"/>
                <w:b/>
                <w:bCs/>
                <w:color w:val="F0D9A0"/>
                <w:sz w:val="16"/>
                <w:szCs w:val="16"/>
                <w:shd w:fill="1E3A63" w:val="clear"/>
              </w:rPr>
              <w:t xml:space="preserve">  COMBINED INVESTOR PITCH DECK · ALL SIX BUSINESS DIVISIONS  </w:t>
            </w:r>
          </w:p>
          <w:p>
            <w:pPr>
              <w:spacing w:after="140" w:before="60"/>
            </w:pPr>
            <w:r>
              <w:rPr>
                <w:rFonts w:ascii="Arial" w:cs="Arial" w:eastAsia="Arial" w:hAnsi="Arial"/>
                <w:b/>
                <w:bCs/>
                <w:color w:val="FFFFFF"/>
                <w:sz w:val="58"/>
                <w:szCs w:val="58"/>
              </w:rPr>
              <w:t xml:space="preserve">PT Legalku Multi Digital</w:t>
            </w:r>
          </w:p>
          <w:p>
            <w:pPr>
              <w:spacing w:after="200"/>
            </w:pPr>
            <w:r>
              <w:rPr>
                <w:rFonts w:ascii="Arial" w:cs="Arial" w:eastAsia="Arial" w:hAnsi="Arial"/>
                <w:i/>
                <w:iCs/>
                <w:color w:val="DBE4F0"/>
                <w:sz w:val="24"/>
                <w:szCs w:val="24"/>
              </w:rPr>
              <w:t xml:space="preserve">A Unified Growth Story Across Six Complementary Business Lines</w:t>
            </w:r>
          </w:p>
          <w:p>
            <w:pPr>
              <w:pBdr>
                <w:top w:val="single" w:color="C8A24A" w:sz="12" w:space="1"/>
              </w:pBdr>
              <w:spacing w:after="3400"/>
              <w:ind w:right="8000"/>
            </w:pPr>
            <w:r>
              <w:rPr>
                <w:sz w:val="2"/>
                <w:szCs w:val="2"/>
              </w:rPr>
              <w:t xml:space="preserve"/>
            </w:r>
          </w:p>
          <w:p>
            <w:pPr>
              <w:pBdr>
                <w:top w:val="single" w:color="3E5B8A" w:sz="4"/>
              </w:pBdr>
              <w:spacing w:after="90"/>
            </w:pPr>
            <w:r>
              <w:rPr>
                <w:rFonts w:ascii="Arial" w:cs="Arial" w:eastAsia="Arial" w:hAnsi="Arial"/>
                <w:b/>
                <w:bCs/>
                <w:color w:val="8FA0BD"/>
                <w:sz w:val="15"/>
                <w:szCs w:val="15"/>
              </w:rPr>
              <w:t xml:space="preserve">HEADQUARTERS   </w:t>
            </w:r>
            <w:r>
              <w:rPr>
                <w:rFonts w:ascii="Arial" w:cs="Arial" w:eastAsia="Arial" w:hAnsi="Arial"/>
                <w:b/>
                <w:bCs/>
                <w:color w:val="FFFFFF"/>
                <w:sz w:val="18"/>
                <w:szCs w:val="18"/>
              </w:rPr>
              <w:t xml:space="preserve">Semarang, Central Java, Indonesia</w:t>
            </w:r>
          </w:p>
          <w:p>
            <w:pPr>
              <w:spacing w:after="220"/>
            </w:pPr>
            <w:r>
              <w:rPr>
                <w:rFonts w:ascii="Arial" w:cs="Arial" w:eastAsia="Arial" w:hAnsi="Arial"/>
                <w:b/>
                <w:bCs/>
                <w:color w:val="8FA0BD"/>
                <w:sz w:val="15"/>
                <w:szCs w:val="15"/>
              </w:rPr>
              <w:t xml:space="preserve">PREPARED FOR   </w:t>
            </w:r>
            <w:r>
              <w:rPr>
                <w:rFonts w:ascii="Arial" w:cs="Arial" w:eastAsia="Arial" w:hAnsi="Arial"/>
                <w:b/>
                <w:bCs/>
                <w:color w:val="FFFFFF"/>
                <w:sz w:val="18"/>
                <w:szCs w:val="18"/>
              </w:rPr>
              <w:t xml:space="preserve">Prospective Investors &amp; Strategic Partners</w:t>
            </w:r>
          </w:p>
          <w:p>
            <w:r>
              <w:rPr>
                <w:rFonts w:ascii="Arial" w:cs="Arial" w:eastAsia="Arial" w:hAnsi="Arial"/>
                <w:i/>
                <w:iCs/>
                <w:color w:val="9FB0CC"/>
                <w:sz w:val="16"/>
                <w:szCs w:val="16"/>
              </w:rPr>
              <w:t xml:space="preserve">This document is confidential and intended solely for the named recipient to evaluate a potential investment or partnership with PT Legalku Multi Digital.</w:t>
            </w:r>
          </w:p>
        </w:tc>
      </w:tr>
    </w:tbl>
    <w:p>
      <w:pPr>
        <w:sectPr>
          <w:pgSz w:w="11906" w:h="16838" w:orient="portrait"/>
          <w:pgMar w:top="0" w:right="0" w:bottom="0" w:left="0" w:header="708" w:footer="708" w:gutter="0"/>
          <w:pgNumType/>
          <w:docGrid w:linePitch="360"/>
        </w:sectPr>
      </w:pPr>
    </w:p>
    <w:p>
      <w:pPr>
        <w:spacing w:after="80"/>
      </w:pPr>
      <w:r>
        <w:rPr>
          <w:rFonts w:ascii="Arial" w:cs="Arial" w:eastAsia="Arial" w:hAnsi="Arial"/>
          <w:b/>
          <w:bCs/>
          <w:color w:val="C8A24A"/>
          <w:sz w:val="17"/>
          <w:szCs w:val="17"/>
        </w:rPr>
        <w:t xml:space="preserve">TABLE OF CONTENTS</w:t>
      </w:r>
    </w:p>
    <w:p>
      <w:pPr>
        <w:pStyle w:val="Heading1"/>
        <w:spacing w:after="200" w:before="40"/>
      </w:pPr>
      <w:r>
        <w:rPr>
          <w:rFonts w:ascii="Arial" w:cs="Arial" w:eastAsia="Arial" w:hAnsi="Arial"/>
          <w:b/>
          <w:bCs/>
          <w:color w:val="0B1F3A"/>
          <w:sz w:val="32"/>
          <w:szCs w:val="32"/>
        </w:rPr>
        <w:t xml:space="preserve">About This Document</w:t>
      </w:r>
    </w:p>
    <w:p>
      <w:pPr>
        <w:spacing w:after="160"/>
      </w:pPr>
      <w:r>
        <w:rPr>
          <w:rFonts w:ascii="Arial" w:cs="Arial" w:eastAsia="Arial" w:hAnsi="Arial"/>
          <w:color w:val="3A3F47"/>
          <w:sz w:val="21"/>
          <w:szCs w:val="21"/>
        </w:rPr>
        <w:t xml:space="preserve">This document brings together the investor pitch decks of all six PT Legalku Multi Digital business divisions in one combined edition, giving investors and partners a complete view of our integrated business portfolio.</w:t>
      </w:r>
    </w:p>
    <w:p>
      <w:pPr>
        <w:spacing w:after="200"/>
      </w:pPr>
    </w:p>
    <w:p>
      <w:pPr>
        <w:tabs>
          <w:tab w:val="right" w:pos="9026" w:leader="dot"/>
        </w:tabs>
        <w:spacing w:after="130"/>
        <w:ind w:left="0"/>
      </w:pPr>
      <w:r>
        <w:rPr>
          <w:rFonts w:ascii="Arial" w:cs="Arial" w:eastAsia="Arial" w:hAnsi="Arial"/>
          <w:b/>
          <w:bCs/>
          <w:color w:val="0B1F3A"/>
          <w:sz w:val="22"/>
          <w:szCs w:val="22"/>
        </w:rPr>
        <w:t xml:space="preserve">Chapter 1 — Legalku Legal Services</w:t>
      </w:r>
      <w:r>
        <w:rPr>
          <w:rFonts w:ascii="Arial" w:cs="Arial" w:eastAsia="Arial" w:hAnsi="Arial"/>
          <w:b/>
          <w:bCs/>
          <w:color w:val="0B1F3A"/>
          <w:sz w:val="22"/>
          <w:szCs w:val="22"/>
        </w:rPr>
        <w:t xml:space="preserve">	3</w:t>
      </w:r>
    </w:p>
    <w:p>
      <w:pPr>
        <w:tabs>
          <w:tab w:val="right" w:pos="9026" w:leader="dot"/>
        </w:tabs>
        <w:spacing w:after="130"/>
        <w:ind w:left="0"/>
      </w:pPr>
      <w:r>
        <w:rPr>
          <w:rFonts w:ascii="Arial" w:cs="Arial" w:eastAsia="Arial" w:hAnsi="Arial"/>
          <w:b/>
          <w:bCs/>
          <w:color w:val="0B1F3A"/>
          <w:sz w:val="22"/>
          <w:szCs w:val="22"/>
        </w:rPr>
        <w:t xml:space="preserve">Chapter 2 — Legalku Business Licensing</w:t>
      </w:r>
      <w:r>
        <w:rPr>
          <w:rFonts w:ascii="Arial" w:cs="Arial" w:eastAsia="Arial" w:hAnsi="Arial"/>
          <w:b/>
          <w:bCs/>
          <w:color w:val="0B1F3A"/>
          <w:sz w:val="22"/>
          <w:szCs w:val="22"/>
        </w:rPr>
        <w:t xml:space="preserve">	13</w:t>
      </w:r>
    </w:p>
    <w:p>
      <w:pPr>
        <w:tabs>
          <w:tab w:val="right" w:pos="9026" w:leader="dot"/>
        </w:tabs>
        <w:spacing w:after="130"/>
        <w:ind w:left="0"/>
      </w:pPr>
      <w:r>
        <w:rPr>
          <w:rFonts w:ascii="Arial" w:cs="Arial" w:eastAsia="Arial" w:hAnsi="Arial"/>
          <w:b/>
          <w:bCs/>
          <w:color w:val="0B1F3A"/>
          <w:sz w:val="22"/>
          <w:szCs w:val="22"/>
        </w:rPr>
        <w:t xml:space="preserve">Chapter 3 — Legalku Publishing</w:t>
      </w:r>
      <w:r>
        <w:rPr>
          <w:rFonts w:ascii="Arial" w:cs="Arial" w:eastAsia="Arial" w:hAnsi="Arial"/>
          <w:b/>
          <w:bCs/>
          <w:color w:val="0B1F3A"/>
          <w:sz w:val="22"/>
          <w:szCs w:val="22"/>
        </w:rPr>
        <w:t xml:space="preserve">	23</w:t>
      </w:r>
    </w:p>
    <w:p>
      <w:pPr>
        <w:tabs>
          <w:tab w:val="right" w:pos="9026" w:leader="dot"/>
        </w:tabs>
        <w:spacing w:after="130"/>
        <w:ind w:left="0"/>
      </w:pPr>
      <w:r>
        <w:rPr>
          <w:rFonts w:ascii="Arial" w:cs="Arial" w:eastAsia="Arial" w:hAnsi="Arial"/>
          <w:b/>
          <w:bCs/>
          <w:color w:val="0B1F3A"/>
          <w:sz w:val="22"/>
          <w:szCs w:val="22"/>
        </w:rPr>
        <w:t xml:space="preserve">Chapter 4 — Quarentine Bottled Water</w:t>
      </w:r>
      <w:r>
        <w:rPr>
          <w:rFonts w:ascii="Arial" w:cs="Arial" w:eastAsia="Arial" w:hAnsi="Arial"/>
          <w:b/>
          <w:bCs/>
          <w:color w:val="0B1F3A"/>
          <w:sz w:val="22"/>
          <w:szCs w:val="22"/>
        </w:rPr>
        <w:t xml:space="preserve">	33</w:t>
      </w:r>
    </w:p>
    <w:p>
      <w:pPr>
        <w:tabs>
          <w:tab w:val="right" w:pos="9026" w:leader="dot"/>
        </w:tabs>
        <w:spacing w:after="130"/>
        <w:ind w:left="0"/>
      </w:pPr>
      <w:r>
        <w:rPr>
          <w:rFonts w:ascii="Arial" w:cs="Arial" w:eastAsia="Arial" w:hAnsi="Arial"/>
          <w:b/>
          <w:bCs/>
          <w:color w:val="0B1F3A"/>
          <w:sz w:val="22"/>
          <w:szCs w:val="22"/>
        </w:rPr>
        <w:t xml:space="preserve">Chapter 5 — Aplikasi Legalku</w:t>
      </w:r>
      <w:r>
        <w:rPr>
          <w:rFonts w:ascii="Arial" w:cs="Arial" w:eastAsia="Arial" w:hAnsi="Arial"/>
          <w:b/>
          <w:bCs/>
          <w:color w:val="0B1F3A"/>
          <w:sz w:val="22"/>
          <w:szCs w:val="22"/>
        </w:rPr>
        <w:t xml:space="preserve">	43</w:t>
      </w:r>
    </w:p>
    <w:p>
      <w:pPr>
        <w:tabs>
          <w:tab w:val="right" w:pos="9026" w:leader="dot"/>
        </w:tabs>
        <w:spacing w:after="130"/>
        <w:ind w:left="0"/>
      </w:pPr>
      <w:r>
        <w:rPr>
          <w:rFonts w:ascii="Arial" w:cs="Arial" w:eastAsia="Arial" w:hAnsi="Arial"/>
          <w:b/>
          <w:bCs/>
          <w:color w:val="0B1F3A"/>
          <w:sz w:val="22"/>
          <w:szCs w:val="22"/>
        </w:rPr>
        <w:t xml:space="preserve">Chapter 6 — Pendidikan Bahasa Korea &amp; Jepang (LPK Hanggugo Indonesia)</w:t>
      </w:r>
      <w:r>
        <w:rPr>
          <w:rFonts w:ascii="Arial" w:cs="Arial" w:eastAsia="Arial" w:hAnsi="Arial"/>
          <w:b/>
          <w:bCs/>
          <w:color w:val="0B1F3A"/>
          <w:sz w:val="22"/>
          <w:szCs w:val="22"/>
        </w:rPr>
        <w:t xml:space="preserve">	53</w:t>
      </w:r>
    </w:p>
    <w:p>
      <w:pPr>
        <w:sectPr>
          <w:headerReference w:type="default" r:id="rId7"/>
          <w:footerReference w:type="default" r:id="rId8"/>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1 OF 6</w:t>
      </w:r>
    </w:p>
    <w:p>
      <w:pPr>
        <w:pStyle w:val="Heading1"/>
        <w:spacing w:after="200" w:before="40"/>
      </w:pPr>
      <w:r>
        <w:rPr>
          <w:rFonts w:ascii="Arial" w:cs="Arial" w:eastAsia="Arial" w:hAnsi="Arial"/>
          <w:b/>
          <w:bCs/>
          <w:color w:val="0B1F3A"/>
          <w:sz w:val="32"/>
          <w:szCs w:val="32"/>
        </w:rPr>
        <w:t xml:space="preserve">Legalku Legal Services</w:t>
      </w:r>
    </w:p>
    <w:p>
      <w:pPr>
        <w:spacing w:after="160"/>
      </w:pPr>
      <w:r>
        <w:rPr>
          <w:rFonts w:ascii="Arial" w:cs="Arial" w:eastAsia="Arial" w:hAnsi="Arial"/>
          <w:i/>
          <w:iCs/>
          <w:color w:val="3A3F47"/>
          <w:sz w:val="21"/>
          <w:szCs w:val="21"/>
        </w:rPr>
        <w:t xml:space="preserve">Building Indonesia's most trusted legal-services practice for individuals, MSMEs, and corporations.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Full-Service Legal Practice Addressing a Structural Access-to-Justice Gap</w:t>
      </w:r>
    </w:p>
    <w:p>
      <w:pPr>
        <w:spacing w:after="160"/>
      </w:pPr>
      <w:r>
        <w:rPr>
          <w:rFonts w:ascii="Arial" w:cs="Arial" w:eastAsia="Arial" w:hAnsi="Arial"/>
          <w:color w:val="3A3F47"/>
          <w:sz w:val="21"/>
          <w:szCs w:val="21"/>
        </w:rPr>
        <w:t xml:space="preserve">Legalku's Legal Services division provides legal consultation, contract drafting, litigation and non-litigation representation, and legal audits to individuals, MSMEs, and corporations across Indonesia from a Semarang-based practice. The division operates inside a national market with a well-documented shortage of accessible, transparent legal services, and differentiates on up-front pricing, responsiveness, and integration with the group's four sister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3A3F47"/>
                <w:sz w:val="16"/>
                <w:szCs w:val="16"/>
              </w:rPr>
              <w:t xml:space="preserve">Registered advocates nationwide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288.3M</w:t>
            </w:r>
          </w:p>
          <w:p>
            <w:r>
              <w:rPr>
                <w:rFonts w:ascii="Arial" w:cs="Arial" w:eastAsia="Arial" w:hAnsi="Arial"/>
                <w:color w:val="3A3F47"/>
                <w:sz w:val="16"/>
                <w:szCs w:val="16"/>
              </w:rPr>
              <w:t xml:space="preserve">Indonesia's population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 : 1,150</w:t>
            </w:r>
          </w:p>
          <w:p>
            <w:r>
              <w:rPr>
                <w:rFonts w:ascii="Arial" w:cs="Arial" w:eastAsia="Arial" w:hAnsi="Arial"/>
                <w:color w:val="3A3F47"/>
                <w:sz w:val="16"/>
                <w:szCs w:val="16"/>
              </w:rPr>
              <w:t xml:space="preserve">Bappenas ideal advocate-to-population service ratio</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Legal services for people and businesses.</w:t>
      </w:r>
      <w:r>
        <w:rPr>
          <w:rFonts w:ascii="Arial" w:cs="Arial" w:eastAsia="Arial" w:hAnsi="Arial"/>
          <w:color w:val="3A3F47"/>
          <w:sz w:val="21"/>
          <w:szCs w:val="21"/>
        </w:rPr>
        <w:t xml:space="preserve"> Consultation, legal drafting, litigation &amp; non-litigation support, and legal audits — spanning corporate law, employment law, and intellectual property.</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national shortage of accessible advocates.</w:t>
      </w:r>
      <w:r>
        <w:rPr>
          <w:rFonts w:ascii="Arial" w:cs="Arial" w:eastAsia="Arial" w:hAnsi="Arial"/>
          <w:color w:val="3A3F47"/>
          <w:sz w:val="21"/>
          <w:szCs w:val="21"/>
        </w:rPr>
        <w:t xml:space="preserve"> Indonesia's advocate population is far below the ratio regarded as ideal by national planning authorities, leaving structural unmet demand for legal services nationwide.</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Legal Access Is Scarce; We Make It Transparent and Reachable</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Legal access is scarce and pricing is opaque.</w:t>
      </w:r>
      <w:r>
        <w:rPr>
          <w:rFonts w:ascii="Arial" w:cs="Arial" w:eastAsia="Arial" w:hAnsi="Arial"/>
          <w:color w:val="3A3F47"/>
          <w:sz w:val="21"/>
          <w:szCs w:val="21"/>
        </w:rPr>
        <w:t xml:space="preserve"> Individuals and MSMEs across Indonesia routinely under-consume legal services because of a nationwide shortage of advocates relative to population, compounded by unclear, inconsistent pricing at conventional law firms.</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transparent, integrated legal practice.</w:t>
      </w:r>
      <w:r>
        <w:rPr>
          <w:rFonts w:ascii="Arial" w:cs="Arial" w:eastAsia="Arial" w:hAnsi="Arial"/>
          <w:color w:val="3A3F47"/>
          <w:sz w:val="21"/>
          <w:szCs w:val="21"/>
        </w:rPr>
        <w:t xml:space="preserve"> Legalku quotes time and cost at the first consultation, fields a cross-disciplinary team (corporate, employment, IP, litigation), and is reachable via WhatsApp, the website, and the Aplikasi Legalku platform for fast response.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As of late 2025, Indonesia had 69,813 registered advocates for a population of roughly 288.3 million — far short of the 1-advocate-per-1,150-justice-seekers-per-year ratio identified as ideal in Bappenas-referenced research (source: Republika, citing Deputy Speaker of the MPR Bambang Soesatyo, December 2025).</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Structurally Under-Served National Legal Market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288.3 million people</w:t>
            </w:r>
            <w:r>
              <w:rPr>
                <w:rFonts w:ascii="Arial" w:cs="Arial" w:eastAsia="Arial" w:hAnsi="Arial"/>
                <w:b w:val="false"/>
                <w:bCs w:val="false"/>
                <w:color w:val="3A3F47"/>
                <w:sz w:val="19"/>
                <w:szCs w:val="19"/>
              </w:rPr>
              <w:t xml:space="preserve"> — Indonesia's total population (2025) — the broadest pool of potential lifetime legal-service demand.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~80.3 million matters / year</w:t>
            </w:r>
            <w:r>
              <w:rPr>
                <w:rFonts w:ascii="Arial" w:cs="Arial" w:eastAsia="Arial" w:hAnsi="Arial"/>
                <w:b w:val="false"/>
                <w:bCs w:val="false"/>
                <w:color w:val="3A3F47"/>
                <w:sz w:val="19"/>
                <w:szCs w:val="19"/>
              </w:rPr>
              <w:t xml:space="preserve"> — National case-handling ceiling if all 69,813 registered advocates operated at the Bappenas ideal ratio (69,813 × 1,150 ≈ 80.3M) — the realistic upper bound of demand serviceable through licensed advocates.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~8,000–40,000 matters / year (target)</w:t>
            </w:r>
            <w:r>
              <w:rPr>
                <w:rFonts w:ascii="Arial" w:cs="Arial" w:eastAsia="Arial" w:hAnsi="Arial"/>
                <w:b w:val="false"/>
                <w:bCs w:val="false"/>
                <w:color w:val="3A3F47"/>
                <w:sz w:val="19"/>
                <w:szCs w:val="19"/>
              </w:rPr>
              <w:t xml:space="preserve"> — Internal 3–5 year planning target: 0.01%–0.05% of SAM, served directly by Legalku's own and affiliated partner advocates in Central Java.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are derived from publicly available statistics (Republika / Bambang Soesatyo statement, December 2025, citing Bappenas-referenced research) rather than internal estimates. SOM is management's own illustrative capture target, shown with the underlying arithmetic for transparency, and should be read as a planning assumption rather than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Fee-for-Service, With Recurring Revenue From Retained Corporate Clients</w:t>
      </w:r>
    </w:p>
    <w:p>
      <w:pPr>
        <w:spacing w:after="160"/>
      </w:pPr>
      <w:r>
        <w:rPr>
          <w:rFonts w:ascii="Arial" w:cs="Arial" w:eastAsia="Arial" w:hAnsi="Arial"/>
          <w:color w:val="3A3F47"/>
          <w:sz w:val="21"/>
          <w:szCs w:val="21"/>
        </w:rPr>
        <w:t xml:space="preserve">Revenue is generated through direct client engagements, priced and scoped transparently at the point of consultation.</w:t>
      </w:r>
    </w:p>
    <w:p>
      <w:pPr>
        <w:spacing w:after="100"/>
      </w:pPr>
    </w:p>
    <w:p>
      <w:pPr>
        <w:spacing w:after="40" w:before="100"/>
      </w:pPr>
      <w:r>
        <w:rPr>
          <w:rFonts w:ascii="Arial" w:cs="Arial" w:eastAsia="Arial" w:hAnsi="Arial"/>
          <w:b/>
          <w:bCs/>
          <w:color w:val="0B1F3A"/>
          <w:sz w:val="22"/>
          <w:szCs w:val="22"/>
        </w:rPr>
        <w:t xml:space="preserve">1. Initial consultation &amp; scoping</w:t>
      </w:r>
    </w:p>
    <w:p>
      <w:pPr>
        <w:spacing w:after="160"/>
      </w:pPr>
      <w:r>
        <w:rPr>
          <w:rFonts w:ascii="Arial" w:cs="Arial" w:eastAsia="Arial" w:hAnsi="Arial"/>
          <w:color w:val="3A3F47"/>
          <w:sz w:val="21"/>
          <w:szCs w:val="21"/>
        </w:rPr>
        <w:t xml:space="preserve">Prospective clients (individual, MSME, or corporate) describe their legal need via WhatsApp, the website, or Aplikasi Legalku.</w:t>
      </w:r>
    </w:p>
    <w:p>
      <w:pPr>
        <w:spacing w:after="40" w:before="100"/>
      </w:pPr>
      <w:r>
        <w:rPr>
          <w:rFonts w:ascii="Arial" w:cs="Arial" w:eastAsia="Arial" w:hAnsi="Arial"/>
          <w:b/>
          <w:bCs/>
          <w:color w:val="0B1F3A"/>
          <w:sz w:val="22"/>
          <w:szCs w:val="22"/>
        </w:rPr>
        <w:t xml:space="preserve">2. Transparent quotation</w:t>
      </w:r>
    </w:p>
    <w:p>
      <w:pPr>
        <w:spacing w:after="160"/>
      </w:pPr>
      <w:r>
        <w:rPr>
          <w:rFonts w:ascii="Arial" w:cs="Arial" w:eastAsia="Arial" w:hAnsi="Arial"/>
          <w:color w:val="3A3F47"/>
          <w:sz w:val="21"/>
          <w:szCs w:val="21"/>
        </w:rPr>
        <w:t xml:space="preserve">Time and cost estimates are provided up front — before any engagement is confirmed — differentiating Legalku from opaque conventional-firm pricing.</w:t>
      </w:r>
    </w:p>
    <w:p>
      <w:pPr>
        <w:spacing w:after="40" w:before="100"/>
      </w:pPr>
      <w:r>
        <w:rPr>
          <w:rFonts w:ascii="Arial" w:cs="Arial" w:eastAsia="Arial" w:hAnsi="Arial"/>
          <w:b/>
          <w:bCs/>
          <w:color w:val="0B1F3A"/>
          <w:sz w:val="22"/>
          <w:szCs w:val="22"/>
        </w:rPr>
        <w:t xml:space="preserve">3. Service delivery</w:t>
      </w:r>
    </w:p>
    <w:p>
      <w:pPr>
        <w:spacing w:after="160"/>
      </w:pPr>
      <w:r>
        <w:rPr>
          <w:rFonts w:ascii="Arial" w:cs="Arial" w:eastAsia="Arial" w:hAnsi="Arial"/>
          <w:color w:val="3A3F47"/>
          <w:sz w:val="21"/>
          <w:szCs w:val="21"/>
        </w:rPr>
        <w:t xml:space="preserve">Fee-for-service engagements: consultation, contract/legal drafting, litigation or non-litigation representation, or a legal audit.</w:t>
      </w:r>
    </w:p>
    <w:p>
      <w:pPr>
        <w:spacing w:after="40" w:before="100"/>
      </w:pPr>
      <w:r>
        <w:rPr>
          <w:rFonts w:ascii="Arial" w:cs="Arial" w:eastAsia="Arial" w:hAnsi="Arial"/>
          <w:b/>
          <w:bCs/>
          <w:color w:val="0B1F3A"/>
          <w:sz w:val="22"/>
          <w:szCs w:val="22"/>
        </w:rPr>
        <w:t xml:space="preserve">4. Retained relationships</w:t>
      </w:r>
    </w:p>
    <w:p>
      <w:pPr>
        <w:spacing w:after="160"/>
      </w:pPr>
      <w:r>
        <w:rPr>
          <w:rFonts w:ascii="Arial" w:cs="Arial" w:eastAsia="Arial" w:hAnsi="Arial"/>
          <w:color w:val="3A3F47"/>
          <w:sz w:val="21"/>
          <w:szCs w:val="21"/>
        </w:rPr>
        <w:t xml:space="preserve">Corporate and MSME clients are converted into ongoing retained relationships for continuous compliance and contract support, creating a recurring-revenue layer on top of one-off matters.</w:t>
      </w:r>
    </w:p>
    <w:p>
      <w:pPr>
        <w:spacing w:after="40" w:before="100"/>
      </w:pPr>
      <w:r>
        <w:rPr>
          <w:rFonts w:ascii="Arial" w:cs="Arial" w:eastAsia="Arial" w:hAnsi="Arial"/>
          <w:b/>
          <w:bCs/>
          <w:color w:val="0B1F3A"/>
          <w:sz w:val="22"/>
          <w:szCs w:val="22"/>
        </w:rPr>
        <w:t xml:space="preserve">5. Cross-referral within the group</w:t>
      </w:r>
    </w:p>
    <w:p>
      <w:pPr>
        <w:spacing w:after="160"/>
      </w:pPr>
      <w:r>
        <w:rPr>
          <w:rFonts w:ascii="Arial" w:cs="Arial" w:eastAsia="Arial" w:hAnsi="Arial"/>
          <w:color w:val="3A3F47"/>
          <w:sz w:val="21"/>
          <w:szCs w:val="21"/>
        </w:rPr>
        <w:t xml:space="preserve">Clients needing business licensing or IP/copyright registration are referred to the Business Licensing and Publishing divisions, and vice versa — widening the practice's reach at near-zero acquisition cost.</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division's advantage is structural, not cosmetic — it compounds with the size of the group around it.</w:t>
      </w:r>
    </w:p>
    <w:p>
      <w:pPr>
        <w:spacing w:after="100"/>
      </w:pPr>
    </w:p>
    <w:p>
      <w:pPr>
        <w:spacing w:after="30" w:before="80"/>
      </w:pPr>
      <w:r>
        <w:rPr>
          <w:rFonts w:ascii="Arial" w:cs="Arial" w:eastAsia="Arial" w:hAnsi="Arial"/>
          <w:b/>
          <w:bCs/>
          <w:color w:val="0B1F3A"/>
          <w:sz w:val="21"/>
          <w:szCs w:val="21"/>
        </w:rPr>
        <w:t xml:space="preserve">Integrated business ecosystem</w:t>
      </w:r>
    </w:p>
    <w:p>
      <w:pPr>
        <w:spacing w:after="160"/>
      </w:pPr>
      <w:r>
        <w:rPr>
          <w:rFonts w:ascii="Arial" w:cs="Arial" w:eastAsia="Arial" w:hAnsi="Arial"/>
          <w:color w:val="3A3F47"/>
          <w:sz w:val="21"/>
          <w:szCs w:val="21"/>
        </w:rPr>
        <w:t xml:space="preserve">Clients access legal, licensing, publishing, and digital-consultation services from one group — a bundled relationship that a standalone law firm cannot replicate.</w:t>
      </w:r>
    </w:p>
    <w:p>
      <w:pPr>
        <w:spacing w:after="30" w:before="80"/>
      </w:pPr>
      <w:r>
        <w:rPr>
          <w:rFonts w:ascii="Arial" w:cs="Arial" w:eastAsia="Arial" w:hAnsi="Arial"/>
          <w:b/>
          <w:bCs/>
          <w:color w:val="0B1F3A"/>
          <w:sz w:val="21"/>
          <w:szCs w:val="21"/>
        </w:rPr>
        <w:t xml:space="preserve">Multi-channel digital reach</w:t>
      </w:r>
    </w:p>
    <w:p>
      <w:pPr>
        <w:spacing w:after="160"/>
      </w:pPr>
      <w:r>
        <w:rPr>
          <w:rFonts w:ascii="Arial" w:cs="Arial" w:eastAsia="Arial" w:hAnsi="Arial"/>
          <w:color w:val="3A3F47"/>
          <w:sz w:val="21"/>
          <w:szCs w:val="21"/>
        </w:rPr>
        <w:t xml:space="preserve">WhatsApp, website, and the proprietary Aplikasi Legalku app give three concurrent acquisition and service channels, reducing dependence on referrals alone.</w:t>
      </w:r>
    </w:p>
    <w:p>
      <w:pPr>
        <w:spacing w:after="30" w:before="80"/>
      </w:pPr>
      <w:r>
        <w:rPr>
          <w:rFonts w:ascii="Arial" w:cs="Arial" w:eastAsia="Arial" w:hAnsi="Arial"/>
          <w:b/>
          <w:bCs/>
          <w:color w:val="0B1F3A"/>
          <w:sz w:val="21"/>
          <w:szCs w:val="21"/>
        </w:rPr>
        <w:t xml:space="preserve">Transparent-pricing reputation</w:t>
      </w:r>
    </w:p>
    <w:p>
      <w:pPr>
        <w:spacing w:after="160"/>
      </w:pPr>
      <w:r>
        <w:rPr>
          <w:rFonts w:ascii="Arial" w:cs="Arial" w:eastAsia="Arial" w:hAnsi="Arial"/>
          <w:color w:val="3A3F47"/>
          <w:sz w:val="21"/>
          <w:szCs w:val="21"/>
        </w:rPr>
        <w:t xml:space="preserve">Up-front, disclosed pricing builds trust in a market widely perceived as opaque — a reputational asset that takes years for a new entrant to establish.</w:t>
      </w:r>
    </w:p>
    <w:p>
      <w:pPr>
        <w:spacing w:after="30" w:before="80"/>
      </w:pPr>
      <w:r>
        <w:rPr>
          <w:rFonts w:ascii="Arial" w:cs="Arial" w:eastAsia="Arial" w:hAnsi="Arial"/>
          <w:b/>
          <w:bCs/>
          <w:color w:val="0B1F3A"/>
          <w:sz w:val="21"/>
          <w:szCs w:val="21"/>
        </w:rPr>
        <w:t xml:space="preserve">Cross-disciplinary bench</w:t>
      </w:r>
    </w:p>
    <w:p>
      <w:pPr>
        <w:spacing w:after="160"/>
      </w:pPr>
      <w:r>
        <w:rPr>
          <w:rFonts w:ascii="Arial" w:cs="Arial" w:eastAsia="Arial" w:hAnsi="Arial"/>
          <w:color w:val="3A3F47"/>
          <w:sz w:val="21"/>
          <w:szCs w:val="21"/>
        </w:rPr>
        <w:t xml:space="preserve">In-house capability across corporate, employment, and IP law reduces the need to refer clients externally, capturing more of each client relationship's value.</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is operational today, inside a registered, ratified legal entity, with the group's digital channel (Aplikasi Legalku) already live on Google Play.</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Digital channel</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Aplikasi Legalku is live and publicly downloadable on Google Play Store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Consultation, legal drafting, litigation &amp; non-litigation support, legal audit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Semarang to a National, Digitally-Enabled Practice</w:t>
      </w:r>
    </w:p>
    <w:p>
      <w:pPr>
        <w:spacing w:after="160"/>
      </w:pPr>
      <w:r>
        <w:rPr>
          <w:rFonts w:ascii="Arial" w:cs="Arial" w:eastAsia="Arial" w:hAnsi="Arial"/>
          <w:color w:val="3A3F47"/>
          <w:sz w:val="21"/>
          <w:szCs w:val="21"/>
        </w:rPr>
        <w:t xml:space="preserve">Growth follows a deliberate three-phase path: strengthen the core practice, extend digital reach nationally, then deepen institutional and corporate relationships.</w:t>
      </w:r>
    </w:p>
    <w:p>
      <w:pPr>
        <w:spacing w:after="100"/>
      </w:pPr>
    </w:p>
    <w:p>
      <w:pPr>
        <w:spacing w:after="40" w:before="100"/>
      </w:pPr>
      <w:r>
        <w:rPr>
          <w:rFonts w:ascii="Arial" w:cs="Arial" w:eastAsia="Arial" w:hAnsi="Arial"/>
          <w:b/>
          <w:bCs/>
          <w:color w:val="0B1F3A"/>
          <w:sz w:val="22"/>
          <w:szCs w:val="22"/>
        </w:rPr>
        <w:t xml:space="preserve">1. Years 1–2: Strengthen the core</w:t>
      </w:r>
    </w:p>
    <w:p>
      <w:pPr>
        <w:spacing w:after="160"/>
      </w:pPr>
      <w:r>
        <w:rPr>
          <w:rFonts w:ascii="Arial" w:cs="Arial" w:eastAsia="Arial" w:hAnsi="Arial"/>
          <w:color w:val="3A3F47"/>
          <w:sz w:val="21"/>
          <w:szCs w:val="21"/>
        </w:rPr>
        <w:t xml:space="preserve">Build internal legal-team capacity and widen the scope of consultation, drafting, and litigation/non-litigation services.</w:t>
      </w:r>
    </w:p>
    <w:p>
      <w:pPr>
        <w:spacing w:after="40" w:before="100"/>
      </w:pPr>
      <w:r>
        <w:rPr>
          <w:rFonts w:ascii="Arial" w:cs="Arial" w:eastAsia="Arial" w:hAnsi="Arial"/>
          <w:b/>
          <w:bCs/>
          <w:color w:val="0B1F3A"/>
          <w:sz w:val="22"/>
          <w:szCs w:val="22"/>
        </w:rPr>
        <w:t xml:space="preserve">2. Years 3–5: Network &amp; digitize</w:t>
      </w:r>
    </w:p>
    <w:p>
      <w:pPr>
        <w:spacing w:after="160"/>
      </w:pPr>
      <w:r>
        <w:rPr>
          <w:rFonts w:ascii="Arial" w:cs="Arial" w:eastAsia="Arial" w:hAnsi="Arial"/>
          <w:color w:val="3A3F47"/>
          <w:sz w:val="21"/>
          <w:szCs w:val="21"/>
        </w:rPr>
        <w:t xml:space="preserve">Expand the network of partner advocates across regions and deepen integration with Aplikasi Legalku to reach clients nationwide online.</w:t>
      </w:r>
    </w:p>
    <w:p>
      <w:pPr>
        <w:spacing w:after="40" w:before="100"/>
      </w:pPr>
      <w:r>
        <w:rPr>
          <w:rFonts w:ascii="Arial" w:cs="Arial" w:eastAsia="Arial" w:hAnsi="Arial"/>
          <w:b/>
          <w:bCs/>
          <w:color w:val="0B1F3A"/>
          <w:sz w:val="22"/>
          <w:szCs w:val="22"/>
        </w:rPr>
        <w:t xml:space="preserve">3. Year 5+: Institutional growth</w:t>
      </w:r>
    </w:p>
    <w:p>
      <w:pPr>
        <w:spacing w:after="160"/>
      </w:pPr>
      <w:r>
        <w:rPr>
          <w:rFonts w:ascii="Arial" w:cs="Arial" w:eastAsia="Arial" w:hAnsi="Arial"/>
          <w:color w:val="3A3F47"/>
          <w:sz w:val="21"/>
          <w:szCs w:val="21"/>
        </w:rPr>
        <w:t xml:space="preserve">Grow corporate-client and institutional-partnership segments as Indonesia's MSME and corporate legal-compliance needs continue to expand.</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Near-term scalability is national (via the Aplikasi Legalku digital channel, which is not geographically constrained). Cross-border scalability would most plausibly take the form of serving Indonesian corporate clients' outbound legal-liaison needs, or licensing the Aplikasi Legalku platform model to other Southeast Asian markets with comparable advocate-access gaps — both are directional strategic options, not committed plans.</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operates inside a fully registered, ratified corporate legal entity, and its advocate services are delivered in partnership with advocates licensed to practice under Indonesian law.</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Advocate partnerships:</w:t>
      </w:r>
      <w:r>
        <w:rPr>
          <w:rFonts w:ascii="Arial" w:cs="Arial" w:eastAsia="Arial" w:hAnsi="Arial"/>
          <w:color w:val="3A3F47"/>
          <w:sz w:val="21"/>
          <w:szCs w:val="21"/>
        </w:rPr>
        <w:t xml:space="preserve"> Legal representation is delivered in partnership with advocates (Advokat) admitted to practice under Indonesian law and subject to the Indonesian Advocates' professional code of ethics.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Partner With Us to Close Indonesia's Legal Access Gap</w:t>
      </w:r>
    </w:p>
    <w:p>
      <w:pPr>
        <w:spacing w:after="160"/>
      </w:pPr>
      <w:r>
        <w:rPr>
          <w:rFonts w:ascii="Arial" w:cs="Arial" w:eastAsia="Arial" w:hAnsi="Arial"/>
          <w:color w:val="3A3F47"/>
          <w:sz w:val="21"/>
          <w:szCs w:val="21"/>
        </w:rPr>
        <w:t xml:space="preserve">We welcome conversations with investors and strategic partners who share our view that transparent, accessible legal services are both a social good and a durable business.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9"/>
          <w:footerReference w:type="default" r:id="rId10"/>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2 OF 6</w:t>
      </w:r>
    </w:p>
    <w:p>
      <w:pPr>
        <w:pStyle w:val="Heading1"/>
        <w:spacing w:after="200" w:before="40"/>
      </w:pPr>
      <w:r>
        <w:rPr>
          <w:rFonts w:ascii="Arial" w:cs="Arial" w:eastAsia="Arial" w:hAnsi="Arial"/>
          <w:b/>
          <w:bCs/>
          <w:color w:val="0B1F3A"/>
          <w:sz w:val="32"/>
          <w:szCs w:val="32"/>
        </w:rPr>
        <w:t xml:space="preserve">Legalku Business Licensing</w:t>
      </w:r>
    </w:p>
    <w:p>
      <w:pPr>
        <w:spacing w:after="160"/>
      </w:pPr>
      <w:r>
        <w:rPr>
          <w:rFonts w:ascii="Arial" w:cs="Arial" w:eastAsia="Arial" w:hAnsi="Arial"/>
          <w:i/>
          <w:iCs/>
          <w:color w:val="3A3F47"/>
          <w:sz w:val="21"/>
          <w:szCs w:val="21"/>
        </w:rPr>
        <w:t xml:space="preserve">Turning Indonesia's 30-million-strong, mostly-unlicensed MSME base into fully compliant, fundable businesses.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Closing the Licensing Gap for Indonesia's Enormous MSME Base</w:t>
      </w:r>
    </w:p>
    <w:p>
      <w:pPr>
        <w:spacing w:after="160"/>
      </w:pPr>
      <w:r>
        <w:rPr>
          <w:rFonts w:ascii="Arial" w:cs="Arial" w:eastAsia="Arial" w:hAnsi="Arial"/>
          <w:color w:val="3A3F47"/>
          <w:sz w:val="21"/>
          <w:szCs w:val="21"/>
        </w:rPr>
        <w:t xml:space="preserve">Legalku's Business Licensing division helps businesses — from individual MSMEs to corporations — obtain their NIB (Business Identification Number), establish PT/CV/foundation/cooperative entities, secure building permits (PBG), halal certification, and operating licenses through Indonesia's evolving OSS RBA (Online Single Submission — Risk-Based Approach)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30.2M</w:t>
            </w:r>
          </w:p>
          <w:p>
            <w:r>
              <w:rPr>
                <w:rFonts w:ascii="Arial" w:cs="Arial" w:eastAsia="Arial" w:hAnsi="Arial"/>
                <w:color w:val="3A3F47"/>
                <w:sz w:val="16"/>
                <w:szCs w:val="16"/>
              </w:rPr>
              <w:t xml:space="preserve">Non-agricultural MSME units recorded (SIDT-UMKM,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1.22%</w:t>
            </w:r>
          </w:p>
          <w:p>
            <w:r>
              <w:rPr>
                <w:rFonts w:ascii="Arial" w:cs="Arial" w:eastAsia="Arial" w:hAnsi="Arial"/>
                <w:color w:val="3A3F47"/>
                <w:sz w:val="16"/>
                <w:szCs w:val="16"/>
              </w:rPr>
              <w:t xml:space="preserve">Of recorded MSMEs confirmed to hold an NIB</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15.4M</w:t>
            </w:r>
          </w:p>
          <w:p>
            <w:r>
              <w:rPr>
                <w:rFonts w:ascii="Arial" w:cs="Arial" w:eastAsia="Arial" w:hAnsi="Arial"/>
                <w:color w:val="3A3F47"/>
                <w:sz w:val="16"/>
                <w:szCs w:val="16"/>
              </w:rPr>
              <w:t xml:space="preserve">NIBs issued nationally via OSS RBA (Feb 2026)</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End-to-end business legality services.</w:t>
      </w:r>
      <w:r>
        <w:rPr>
          <w:rFonts w:ascii="Arial" w:cs="Arial" w:eastAsia="Arial" w:hAnsi="Arial"/>
          <w:color w:val="3A3F47"/>
          <w:sz w:val="21"/>
          <w:szCs w:val="21"/>
        </w:rPr>
        <w:t xml:space="preserve"> NIB registration, entity formation (PT/CV/Foundation/Cooperative), building permits (PBG), halal certification, and operating licenses.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licensing gap measured in tens of millions.</w:t>
      </w:r>
      <w:r>
        <w:rPr>
          <w:rFonts w:ascii="Arial" w:cs="Arial" w:eastAsia="Arial" w:hAnsi="Arial"/>
          <w:color w:val="3A3F47"/>
          <w:sz w:val="21"/>
          <w:szCs w:val="21"/>
        </w:rPr>
        <w:t xml:space="preserve"> Fewer than 2 in 100 recorded MSMEs are confirmed to hold formal business licensing — a vast, documented, and still-growing addressable market.</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Millions of Businesses Operate Without Formal Legality — We Fix That, Fast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Most MSMEs are effectively unlicensed.</w:t>
      </w:r>
      <w:r>
        <w:rPr>
          <w:rFonts w:ascii="Arial" w:cs="Arial" w:eastAsia="Arial" w:hAnsi="Arial"/>
          <w:color w:val="3A3F47"/>
          <w:sz w:val="21"/>
          <w:szCs w:val="21"/>
        </w:rPr>
        <w:t xml:space="preserve"> Of the 30.2 million non-agricultural MSME units recorded in Indonesia's SIDT-UMKM database (2025), only about 1.22% are confirmed to hold an NIB — leaving businesses unable to access formal financing, tenders, or partnerships that require legal registration.</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Fast, transparent, regulation-current licensing support.</w:t>
      </w:r>
      <w:r>
        <w:rPr>
          <w:rFonts w:ascii="Arial" w:cs="Arial" w:eastAsia="Arial" w:hAnsi="Arial"/>
          <w:color w:val="3A3F47"/>
          <w:sz w:val="21"/>
          <w:szCs w:val="21"/>
        </w:rPr>
        <w:t xml:space="preserve"> Legalku tracks OSS RBA, PBG, and halal-certification requirements as they evolve, and quotes time and cost up front — turning a confusing bureaucratic process into a managed service.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Per SIDT-UMKM (Sistem Informasi Data Tunggal UMKM) data as of December 2025 (published via ukmindonesia.id), 30.2 million non-agricultural MSME units are recorded, of which only ~1.22% (368,753 units) are confirmed to hold an NIB. Separately, OSS RBA had issued over 15.4 million NIBs nationally as of February 2026, over 96% to micro-scale businesses — evidence of high, ongoing new-business registration activity.</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Licensing Gap of Nearly 30 Million Businesses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30.2 million MSME units</w:t>
            </w:r>
            <w:r>
              <w:rPr>
                <w:rFonts w:ascii="Arial" w:cs="Arial" w:eastAsia="Arial" w:hAnsi="Arial"/>
                <w:b w:val="false"/>
                <w:bCs w:val="false"/>
                <w:color w:val="3A3F47"/>
                <w:sz w:val="19"/>
                <w:szCs w:val="19"/>
              </w:rPr>
              <w:t xml:space="preserve"> — Total non-agricultural MSME units recorded in Indonesia's SIDT-UMKM database (2025) — every one is a potential licensing-service client.</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~29.8 million MSME units</w:t>
            </w:r>
            <w:r>
              <w:rPr>
                <w:rFonts w:ascii="Arial" w:cs="Arial" w:eastAsia="Arial" w:hAnsi="Arial"/>
                <w:b w:val="false"/>
                <w:bCs w:val="false"/>
                <w:color w:val="3A3F47"/>
                <w:sz w:val="19"/>
                <w:szCs w:val="19"/>
              </w:rPr>
              <w:t xml:space="preserve"> — MSMEs recorded but not confirmed to hold an NIB (30.2M less the ~368,753 units, ~1.22%, confirmed licensed) — the immediate, documented addressable gap.</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~30,000–90,000 MSMEs / year (target)</w:t>
            </w:r>
            <w:r>
              <w:rPr>
                <w:rFonts w:ascii="Arial" w:cs="Arial" w:eastAsia="Arial" w:hAnsi="Arial"/>
                <w:b w:val="false"/>
                <w:bCs w:val="false"/>
                <w:color w:val="3A3F47"/>
                <w:sz w:val="19"/>
                <w:szCs w:val="19"/>
              </w:rPr>
              <w:t xml:space="preserve"> — Internal 3–5 year planning target: 0.1%–0.3% of SAM, served directly and via digital channels from a Central Java base, growing alongside national OSS RBA registration volume.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figures come directly from SIDT-UMKM (Sistem Informasi Data Tunggal UMKM, December 2025, published via ukmindonesia.id) and OSS RBA registration data (February 2026); the SAM calculation is simple subtraction shown for transparency. SOM is management's own illustrative capture target, not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Fee-for-Service Licensing, Priced by Complexity</w:t>
      </w:r>
    </w:p>
    <w:p>
      <w:pPr>
        <w:spacing w:after="160"/>
      </w:pPr>
      <w:r>
        <w:rPr>
          <w:rFonts w:ascii="Arial" w:cs="Arial" w:eastAsia="Arial" w:hAnsi="Arial"/>
          <w:color w:val="3A3F47"/>
          <w:sz w:val="21"/>
          <w:szCs w:val="21"/>
        </w:rPr>
        <w:t xml:space="preserve">Revenue is generated per licensing engagement, with pricing scaled to the complexity and regulatory scope of the request.</w:t>
      </w:r>
    </w:p>
    <w:p>
      <w:pPr>
        <w:spacing w:after="100"/>
      </w:pPr>
    </w:p>
    <w:p>
      <w:pPr>
        <w:spacing w:after="40" w:before="100"/>
      </w:pPr>
      <w:r>
        <w:rPr>
          <w:rFonts w:ascii="Arial" w:cs="Arial" w:eastAsia="Arial" w:hAnsi="Arial"/>
          <w:b/>
          <w:bCs/>
          <w:color w:val="0B1F3A"/>
          <w:sz w:val="22"/>
          <w:szCs w:val="22"/>
        </w:rPr>
        <w:t xml:space="preserve">1. Needs assessment</w:t>
      </w:r>
    </w:p>
    <w:p>
      <w:pPr>
        <w:spacing w:after="160"/>
      </w:pPr>
      <w:r>
        <w:rPr>
          <w:rFonts w:ascii="Arial" w:cs="Arial" w:eastAsia="Arial" w:hAnsi="Arial"/>
          <w:color w:val="3A3F47"/>
          <w:sz w:val="21"/>
          <w:szCs w:val="21"/>
        </w:rPr>
        <w:t xml:space="preserve">Client identifies which licenses their business requires (NIB, entity formation, PBG, halal certification, sector-specific operating permits).</w:t>
      </w:r>
    </w:p>
    <w:p>
      <w:pPr>
        <w:spacing w:after="40" w:before="100"/>
      </w:pPr>
      <w:r>
        <w:rPr>
          <w:rFonts w:ascii="Arial" w:cs="Arial" w:eastAsia="Arial" w:hAnsi="Arial"/>
          <w:b/>
          <w:bCs/>
          <w:color w:val="0B1F3A"/>
          <w:sz w:val="22"/>
          <w:szCs w:val="22"/>
        </w:rPr>
        <w:t xml:space="preserve">2. Transparent quotation</w:t>
      </w:r>
    </w:p>
    <w:p>
      <w:pPr>
        <w:spacing w:after="160"/>
      </w:pPr>
      <w:r>
        <w:rPr>
          <w:rFonts w:ascii="Arial" w:cs="Arial" w:eastAsia="Arial" w:hAnsi="Arial"/>
          <w:color w:val="3A3F47"/>
          <w:sz w:val="21"/>
          <w:szCs w:val="21"/>
        </w:rPr>
        <w:t xml:space="preserve">Time and cost are quoted before engagement, reflecting Legalku's up-to-date knowledge of OSS RBA and sector-specific requirements.</w:t>
      </w:r>
    </w:p>
    <w:p>
      <w:pPr>
        <w:spacing w:after="40" w:before="100"/>
      </w:pPr>
      <w:r>
        <w:rPr>
          <w:rFonts w:ascii="Arial" w:cs="Arial" w:eastAsia="Arial" w:hAnsi="Arial"/>
          <w:b/>
          <w:bCs/>
          <w:color w:val="0B1F3A"/>
          <w:sz w:val="22"/>
          <w:szCs w:val="22"/>
        </w:rPr>
        <w:t xml:space="preserve">3. Managed filing &amp; follow-up</w:t>
      </w:r>
    </w:p>
    <w:p>
      <w:pPr>
        <w:spacing w:after="160"/>
      </w:pPr>
      <w:r>
        <w:rPr>
          <w:rFonts w:ascii="Arial" w:cs="Arial" w:eastAsia="Arial" w:hAnsi="Arial"/>
          <w:color w:val="3A3F47"/>
          <w:sz w:val="21"/>
          <w:szCs w:val="21"/>
        </w:rPr>
        <w:t xml:space="preserve">Legalku manages the OSS RBA submission and any related sector-specific applications through to issuance.</w:t>
      </w:r>
    </w:p>
    <w:p>
      <w:pPr>
        <w:spacing w:after="40" w:before="100"/>
      </w:pPr>
      <w:r>
        <w:rPr>
          <w:rFonts w:ascii="Arial" w:cs="Arial" w:eastAsia="Arial" w:hAnsi="Arial"/>
          <w:b/>
          <w:bCs/>
          <w:color w:val="0B1F3A"/>
          <w:sz w:val="22"/>
          <w:szCs w:val="22"/>
        </w:rPr>
        <w:t xml:space="preserve">4. Renewal &amp; compliance retainer</w:t>
      </w:r>
    </w:p>
    <w:p>
      <w:pPr>
        <w:spacing w:after="160"/>
      </w:pPr>
      <w:r>
        <w:rPr>
          <w:rFonts w:ascii="Arial" w:cs="Arial" w:eastAsia="Arial" w:hAnsi="Arial"/>
          <w:color w:val="3A3F47"/>
          <w:sz w:val="21"/>
          <w:szCs w:val="21"/>
        </w:rPr>
        <w:t xml:space="preserve">Businesses with evolving licensing needs (e.g., scaling MSMEs, new product lines) are converted to ongoing compliance-support relationships.</w:t>
      </w:r>
    </w:p>
    <w:p>
      <w:pPr>
        <w:spacing w:after="40" w:before="100"/>
      </w:pPr>
      <w:r>
        <w:rPr>
          <w:rFonts w:ascii="Arial" w:cs="Arial" w:eastAsia="Arial" w:hAnsi="Arial"/>
          <w:b/>
          <w:bCs/>
          <w:color w:val="0B1F3A"/>
          <w:sz w:val="22"/>
          <w:szCs w:val="22"/>
        </w:rPr>
        <w:t xml:space="preserve">5. Cross-referral within the group</w:t>
      </w:r>
    </w:p>
    <w:p>
      <w:pPr>
        <w:spacing w:after="160"/>
      </w:pPr>
      <w:r>
        <w:rPr>
          <w:rFonts w:ascii="Arial" w:cs="Arial" w:eastAsia="Arial" w:hAnsi="Arial"/>
          <w:color w:val="3A3F47"/>
          <w:sz w:val="21"/>
          <w:szCs w:val="21"/>
        </w:rPr>
        <w:t xml:space="preserve">Newly licensed businesses are natural referrals into the Legal Services division for contracts and compliance, and into Publishing for any IP registration needs.</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Regulatory complexity that frustrates business owners is precisely what makes an established, current provider defensible.</w:t>
      </w:r>
    </w:p>
    <w:p>
      <w:pPr>
        <w:spacing w:after="100"/>
      </w:pPr>
    </w:p>
    <w:p>
      <w:pPr>
        <w:spacing w:after="30" w:before="80"/>
      </w:pPr>
      <w:r>
        <w:rPr>
          <w:rFonts w:ascii="Arial" w:cs="Arial" w:eastAsia="Arial" w:hAnsi="Arial"/>
          <w:b/>
          <w:bCs/>
          <w:color w:val="0B1F3A"/>
          <w:sz w:val="21"/>
          <w:szCs w:val="21"/>
        </w:rPr>
        <w:t xml:space="preserve">Regulatory currency</w:t>
      </w:r>
    </w:p>
    <w:p>
      <w:pPr>
        <w:spacing w:after="160"/>
      </w:pPr>
      <w:r>
        <w:rPr>
          <w:rFonts w:ascii="Arial" w:cs="Arial" w:eastAsia="Arial" w:hAnsi="Arial"/>
          <w:color w:val="3A3F47"/>
          <w:sz w:val="21"/>
          <w:szCs w:val="21"/>
        </w:rPr>
        <w:t xml:space="preserve">OSS RBA rules and sector-specific licensing requirements change frequently; staying current requires dedicated attention most business owners cannot spare.</w:t>
      </w:r>
    </w:p>
    <w:p>
      <w:pPr>
        <w:spacing w:after="30" w:before="80"/>
      </w:pPr>
      <w:r>
        <w:rPr>
          <w:rFonts w:ascii="Arial" w:cs="Arial" w:eastAsia="Arial" w:hAnsi="Arial"/>
          <w:b/>
          <w:bCs/>
          <w:color w:val="0B1F3A"/>
          <w:sz w:val="21"/>
          <w:szCs w:val="21"/>
        </w:rPr>
        <w:t xml:space="preserve">Integration with Legal Services</w:t>
      </w:r>
    </w:p>
    <w:p>
      <w:pPr>
        <w:spacing w:after="160"/>
      </w:pPr>
      <w:r>
        <w:rPr>
          <w:rFonts w:ascii="Arial" w:cs="Arial" w:eastAsia="Arial" w:hAnsi="Arial"/>
          <w:color w:val="3A3F47"/>
          <w:sz w:val="21"/>
          <w:szCs w:val="21"/>
        </w:rPr>
        <w:t xml:space="preserve">Licensing and legal-compliance support are offered from the same group, giving clients continuity a standalone licensing agent cannot match.</w:t>
      </w:r>
    </w:p>
    <w:p>
      <w:pPr>
        <w:spacing w:after="30" w:before="80"/>
      </w:pPr>
      <w:r>
        <w:rPr>
          <w:rFonts w:ascii="Arial" w:cs="Arial" w:eastAsia="Arial" w:hAnsi="Arial"/>
          <w:b/>
          <w:bCs/>
          <w:color w:val="0B1F3A"/>
          <w:sz w:val="21"/>
          <w:szCs w:val="21"/>
        </w:rPr>
        <w:t xml:space="preserve">Serves every business scale</w:t>
      </w:r>
    </w:p>
    <w:p>
      <w:pPr>
        <w:spacing w:after="160"/>
      </w:pPr>
      <w:r>
        <w:rPr>
          <w:rFonts w:ascii="Arial" w:cs="Arial" w:eastAsia="Arial" w:hAnsi="Arial"/>
          <w:color w:val="3A3F47"/>
          <w:sz w:val="21"/>
          <w:szCs w:val="21"/>
        </w:rPr>
        <w:t xml:space="preserve">From individual MSMEs to large corporations — a breadth of experience that narrower competitors focused on one segment lack.</w:t>
      </w:r>
    </w:p>
    <w:p>
      <w:pPr>
        <w:spacing w:after="30" w:before="80"/>
      </w:pPr>
      <w:r>
        <w:rPr>
          <w:rFonts w:ascii="Arial" w:cs="Arial" w:eastAsia="Arial" w:hAnsi="Arial"/>
          <w:b/>
          <w:bCs/>
          <w:color w:val="0B1F3A"/>
          <w:sz w:val="21"/>
          <w:szCs w:val="21"/>
        </w:rPr>
        <w:t xml:space="preserve">Transparent, up-front pricing</w:t>
      </w:r>
    </w:p>
    <w:p>
      <w:pPr>
        <w:spacing w:after="160"/>
      </w:pPr>
      <w:r>
        <w:rPr>
          <w:rFonts w:ascii="Arial" w:cs="Arial" w:eastAsia="Arial" w:hAnsi="Arial"/>
          <w:color w:val="3A3F47"/>
          <w:sz w:val="21"/>
          <w:szCs w:val="21"/>
        </w:rPr>
        <w:t xml:space="preserve">Clarity on time and cost from the first conversation builds trust in a segment where pricing is often unclear.</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is live today inside a registered, ratified legal entity — itself a fully OSS RBA-registered business, the same system it helps clients navigate.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Own licensing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Fully NIB-registered via OSS RBA (NIB 2804250030574) — the division operates under the same compliant status it delivers to clients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NIB registration, entity formation, PBG, halal certification, sector-specific operating licenses</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Regional Specialist to National Licensing Partner</w:t>
      </w:r>
    </w:p>
    <w:p>
      <w:pPr>
        <w:spacing w:after="160"/>
      </w:pPr>
      <w:r>
        <w:rPr>
          <w:rFonts w:ascii="Arial" w:cs="Arial" w:eastAsia="Arial" w:hAnsi="Arial"/>
          <w:color w:val="3A3F47"/>
          <w:sz w:val="21"/>
          <w:szCs w:val="21"/>
        </w:rPr>
        <w:t xml:space="preserve">Growth proceeds from operational efficiency, to segment expansion, to strategic institutional partnerships.</w:t>
      </w:r>
    </w:p>
    <w:p>
      <w:pPr>
        <w:spacing w:after="100"/>
      </w:pPr>
    </w:p>
    <w:p>
      <w:pPr>
        <w:spacing w:after="40" w:before="100"/>
      </w:pPr>
      <w:r>
        <w:rPr>
          <w:rFonts w:ascii="Arial" w:cs="Arial" w:eastAsia="Arial" w:hAnsi="Arial"/>
          <w:b/>
          <w:bCs/>
          <w:color w:val="0B1F3A"/>
          <w:sz w:val="22"/>
          <w:szCs w:val="22"/>
        </w:rPr>
        <w:t xml:space="preserve">1. Years 1–2: Optimize core licensing workflows</w:t>
      </w:r>
    </w:p>
    <w:p>
      <w:pPr>
        <w:spacing w:after="160"/>
      </w:pPr>
      <w:r>
        <w:rPr>
          <w:rFonts w:ascii="Arial" w:cs="Arial" w:eastAsia="Arial" w:hAnsi="Arial"/>
          <w:color w:val="3A3F47"/>
          <w:sz w:val="21"/>
          <w:szCs w:val="21"/>
        </w:rPr>
        <w:t xml:space="preserve">Accelerate NIB, entity-formation, PBG, and halal-certification turnaround through more efficient internal processes.</w:t>
      </w:r>
    </w:p>
    <w:p>
      <w:pPr>
        <w:spacing w:after="40" w:before="100"/>
      </w:pPr>
      <w:r>
        <w:rPr>
          <w:rFonts w:ascii="Arial" w:cs="Arial" w:eastAsia="Arial" w:hAnsi="Arial"/>
          <w:b/>
          <w:bCs/>
          <w:color w:val="0B1F3A"/>
          <w:sz w:val="22"/>
          <w:szCs w:val="22"/>
        </w:rPr>
        <w:t xml:space="preserve">2. Years 3–5: Expand client segments</w:t>
      </w:r>
    </w:p>
    <w:p>
      <w:pPr>
        <w:spacing w:after="160"/>
      </w:pPr>
      <w:r>
        <w:rPr>
          <w:rFonts w:ascii="Arial" w:cs="Arial" w:eastAsia="Arial" w:hAnsi="Arial"/>
          <w:color w:val="3A3F47"/>
          <w:sz w:val="21"/>
          <w:szCs w:val="21"/>
        </w:rPr>
        <w:t xml:space="preserve">Extend services to scaling MSMEs and mid-size corporations across Central Java and neighboring provinces, alongside licensing-education initiatives.</w:t>
      </w:r>
    </w:p>
    <w:p>
      <w:pPr>
        <w:spacing w:after="40" w:before="100"/>
      </w:pPr>
      <w:r>
        <w:rPr>
          <w:rFonts w:ascii="Arial" w:cs="Arial" w:eastAsia="Arial" w:hAnsi="Arial"/>
          <w:b/>
          <w:bCs/>
          <w:color w:val="0B1F3A"/>
          <w:sz w:val="22"/>
          <w:szCs w:val="22"/>
        </w:rPr>
        <w:t xml:space="preserve">3. Year 5+: Strategic partnerships</w:t>
      </w:r>
    </w:p>
    <w:p>
      <w:pPr>
        <w:spacing w:after="160"/>
      </w:pPr>
      <w:r>
        <w:rPr>
          <w:rFonts w:ascii="Arial" w:cs="Arial" w:eastAsia="Arial" w:hAnsi="Arial"/>
          <w:color w:val="3A3F47"/>
          <w:sz w:val="21"/>
          <w:szCs w:val="21"/>
        </w:rPr>
        <w:t xml:space="preserve">Build institutional partnerships with MSME associations and business-support organizations to widen reach.</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The direct service model is domestic by nature (Indonesian licensing law), but the underlying operating playbook — regulatory-tracking discipline plus transparent, fixed-scope pricing — is a template that could be replicated in other Southeast Asian jurisdictions with comparably complex, fast-evolving business-licensing regimes. This is a directional option,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practices what it sells: it is itself a fully licensed, OSS RBA-registered business entity.</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and licensing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License the Next Million MSMEs</w:t>
      </w:r>
    </w:p>
    <w:p>
      <w:pPr>
        <w:spacing w:after="160"/>
      </w:pPr>
      <w:r>
        <w:rPr>
          <w:rFonts w:ascii="Arial" w:cs="Arial" w:eastAsia="Arial" w:hAnsi="Arial"/>
          <w:color w:val="3A3F47"/>
          <w:sz w:val="21"/>
          <w:szCs w:val="21"/>
        </w:rPr>
        <w:t xml:space="preserve">We welcome conversations with investors and strategic partners who see the same opportunity we do in Indonesia's vast, under-licensed MSME base.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11"/>
          <w:footerReference w:type="default" r:id="rId12"/>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3 OF 6</w:t>
      </w:r>
    </w:p>
    <w:p>
      <w:pPr>
        <w:pStyle w:val="Heading1"/>
        <w:spacing w:after="200" w:before="40"/>
      </w:pPr>
      <w:r>
        <w:rPr>
          <w:rFonts w:ascii="Arial" w:cs="Arial" w:eastAsia="Arial" w:hAnsi="Arial"/>
          <w:b/>
          <w:bCs/>
          <w:color w:val="0B1F3A"/>
          <w:sz w:val="32"/>
          <w:szCs w:val="32"/>
        </w:rPr>
        <w:t xml:space="preserve">Legalku Publishing</w:t>
      </w:r>
    </w:p>
    <w:p>
      <w:pPr>
        <w:spacing w:after="160"/>
      </w:pPr>
      <w:r>
        <w:rPr>
          <w:rFonts w:ascii="Arial" w:cs="Arial" w:eastAsia="Arial" w:hAnsi="Arial"/>
          <w:i/>
          <w:iCs/>
          <w:color w:val="3A3F47"/>
          <w:sz w:val="21"/>
          <w:szCs w:val="21"/>
        </w:rPr>
        <w:t xml:space="preserve">Professional, ISBN-registered publishing for Indonesia's authors, academics, and researchers.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Professionalizing Publishing Services for a Large, Recurring National Market</w:t>
      </w:r>
    </w:p>
    <w:p>
      <w:pPr>
        <w:spacing w:after="160"/>
      </w:pPr>
      <w:r>
        <w:rPr>
          <w:rFonts w:ascii="Arial" w:cs="Arial" w:eastAsia="Arial" w:hAnsi="Arial"/>
          <w:color w:val="3A3F47"/>
          <w:sz w:val="21"/>
          <w:szCs w:val="21"/>
        </w:rPr>
        <w:t xml:space="preserve">Legalku's Publishing division provides professional ISBN-registered book and scientific-journal publishing services, including editing, proofreading, layout, cover design, and copyright (HKI) registration, for first-time authors, academics, and researchers across Indonesia.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128,814</w:t>
            </w:r>
          </w:p>
          <w:p>
            <w:r>
              <w:rPr>
                <w:rFonts w:ascii="Arial" w:cs="Arial" w:eastAsia="Arial" w:hAnsi="Arial"/>
                <w:color w:val="3A3F47"/>
                <w:sz w:val="16"/>
                <w:szCs w:val="16"/>
              </w:rPr>
              <w:t xml:space="preserve">ISBN numbers issued nationally, 2025 (Perpusnas RI)</w:t>
            </w:r>
          </w:p>
        </w:tc>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95K–160K</w:t>
            </w:r>
          </w:p>
          <w:p>
            <w:r>
              <w:rPr>
                <w:rFonts w:ascii="Arial" w:cs="Arial" w:eastAsia="Arial" w:hAnsi="Arial"/>
                <w:color w:val="3A3F47"/>
                <w:sz w:val="16"/>
                <w:szCs w:val="16"/>
              </w:rPr>
              <w:t xml:space="preserve">Historical annual ISBN range, 2018–2023</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Full-service, ISBN-registered publishing.</w:t>
      </w:r>
      <w:r>
        <w:rPr>
          <w:rFonts w:ascii="Arial" w:cs="Arial" w:eastAsia="Arial" w:hAnsi="Arial"/>
          <w:color w:val="3A3F47"/>
          <w:sz w:val="21"/>
          <w:szCs w:val="21"/>
        </w:rPr>
        <w:t xml:space="preserve"> Editorial, proofreading, layout, cover design, ISBN registration, and copyright (HKI) filing support for books and scientific journals.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large, sustained annual publishing market.</w:t>
      </w:r>
      <w:r>
        <w:rPr>
          <w:rFonts w:ascii="Arial" w:cs="Arial" w:eastAsia="Arial" w:hAnsi="Arial"/>
          <w:color w:val="3A3F47"/>
          <w:sz w:val="21"/>
          <w:szCs w:val="21"/>
        </w:rPr>
        <w:t xml:space="preserve"> Indonesia issues well over 100,000 ISBNs a year on a multi-year, sustained basis — a large, recurring pool of authors needing professional publishing support.</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Publishing Is In High Demand — Quality, Legal Publishing Support Is Not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High demand for ISBN registration outpaces professional support.</w:t>
      </w:r>
      <w:r>
        <w:rPr>
          <w:rFonts w:ascii="Arial" w:cs="Arial" w:eastAsia="Arial" w:hAnsi="Arial"/>
          <w:color w:val="3A3F47"/>
          <w:sz w:val="21"/>
          <w:szCs w:val="21"/>
        </w:rPr>
        <w:t xml:space="preserve"> Tens of thousands of first-time authors, lecturers, and researchers seek to publish each year, but face a complex ISBN application process and often lack access to reliable editorial, layout, and copyright-registration support.</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managed, professional publishing pipeline.</w:t>
      </w:r>
      <w:r>
        <w:rPr>
          <w:rFonts w:ascii="Arial" w:cs="Arial" w:eastAsia="Arial" w:hAnsi="Arial"/>
          <w:color w:val="3A3F47"/>
          <w:sz w:val="21"/>
          <w:szCs w:val="21"/>
        </w:rPr>
        <w:t xml:space="preserve"> Legalku offers a single point of contact from manuscript to finished, ISBN-registered publication — including copyright (HKI) filing — on a scheduled, transparent editorial timeline.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The National Library of Indonesia (Perpustakaan Nasional RI) issued 128,814 ISBN numbers in 2025, continuing a historical range of roughly 95,000–160,000 ISBNs per year between 2018 and 2023 (source: Perpusnas RI 2025 ISBN statistics; GoodStats Data) — evidence of a large and sustained, not one-off, publishing market.</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Sustained Market of Six-Figure Annual Publishing Volume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128,814 ISBN registrations / year</w:t>
            </w:r>
            <w:r>
              <w:rPr>
                <w:rFonts w:ascii="Arial" w:cs="Arial" w:eastAsia="Arial" w:hAnsi="Arial"/>
                <w:b w:val="false"/>
                <w:bCs w:val="false"/>
                <w:color w:val="3A3F47"/>
                <w:sz w:val="19"/>
                <w:szCs w:val="19"/>
              </w:rPr>
              <w:t xml:space="preserve"> — National ISBN issuance volume in 2025 (Perpusnas RI) — each registration represents a publishing project that is a potential Legalku client.</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~95,000 ISBN registrations / year (baseline)</w:t>
            </w:r>
            <w:r>
              <w:rPr>
                <w:rFonts w:ascii="Arial" w:cs="Arial" w:eastAsia="Arial" w:hAnsi="Arial"/>
                <w:b w:val="false"/>
                <w:bCs w:val="false"/>
                <w:color w:val="3A3F47"/>
                <w:sz w:val="19"/>
                <w:szCs w:val="19"/>
              </w:rPr>
              <w:t xml:space="preserve"> — The conservative, lower end of the 2018–2023 historical range is used deliberately, rather than the record 2025 figure, to avoid overstating what may include a cyclical peak.</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~190–475 titles / year (target)</w:t>
            </w:r>
            <w:r>
              <w:rPr>
                <w:rFonts w:ascii="Arial" w:cs="Arial" w:eastAsia="Arial" w:hAnsi="Arial"/>
                <w:b w:val="false"/>
                <w:bCs w:val="false"/>
                <w:color w:val="3A3F47"/>
                <w:sz w:val="19"/>
                <w:szCs w:val="19"/>
              </w:rPr>
              <w:t xml:space="preserve"> — Internal 3-year planning target: 0.2%–0.5% of the SAM baseline, reflecting realistic capacity for a growing full-service editorial team.</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the SAM baseline are drawn directly from Perpusnas RI's published ISBN statistics and GoodStats Data's historical series (2018–2023); no breakdown between self-published and full-service-publisher segments is publicly available, so SAM conservatively uses the full historical baseline volume. SOM is management's own illustrative capture target, not an audited projection.</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Per-Title Publishing Fees, With Institutional Volume Potential</w:t>
      </w:r>
    </w:p>
    <w:p>
      <w:pPr>
        <w:spacing w:after="160"/>
      </w:pPr>
      <w:r>
        <w:rPr>
          <w:rFonts w:ascii="Arial" w:cs="Arial" w:eastAsia="Arial" w:hAnsi="Arial"/>
          <w:color w:val="3A3F47"/>
          <w:sz w:val="21"/>
          <w:szCs w:val="21"/>
        </w:rPr>
        <w:t xml:space="preserve">Revenue is earned per published title, with journal-publishing engagements offering a path to recurring, higher-volume institutional relationships.</w:t>
      </w:r>
    </w:p>
    <w:p>
      <w:pPr>
        <w:spacing w:after="100"/>
      </w:pPr>
    </w:p>
    <w:p>
      <w:pPr>
        <w:spacing w:after="40" w:before="100"/>
      </w:pPr>
      <w:r>
        <w:rPr>
          <w:rFonts w:ascii="Arial" w:cs="Arial" w:eastAsia="Arial" w:hAnsi="Arial"/>
          <w:b/>
          <w:bCs/>
          <w:color w:val="0B1F3A"/>
          <w:sz w:val="22"/>
          <w:szCs w:val="22"/>
        </w:rPr>
        <w:t xml:space="preserve">1. Manuscript intake</w:t>
      </w:r>
    </w:p>
    <w:p>
      <w:pPr>
        <w:spacing w:after="160"/>
      </w:pPr>
      <w:r>
        <w:rPr>
          <w:rFonts w:ascii="Arial" w:cs="Arial" w:eastAsia="Arial" w:hAnsi="Arial"/>
          <w:color w:val="3A3F47"/>
          <w:sz w:val="21"/>
          <w:szCs w:val="21"/>
        </w:rPr>
        <w:t xml:space="preserve">Authors, lecturers, or researchers submit a manuscript for book or journal publication.</w:t>
      </w:r>
    </w:p>
    <w:p>
      <w:pPr>
        <w:spacing w:after="40" w:before="100"/>
      </w:pPr>
      <w:r>
        <w:rPr>
          <w:rFonts w:ascii="Arial" w:cs="Arial" w:eastAsia="Arial" w:hAnsi="Arial"/>
          <w:b/>
          <w:bCs/>
          <w:color w:val="0B1F3A"/>
          <w:sz w:val="22"/>
          <w:szCs w:val="22"/>
        </w:rPr>
        <w:t xml:space="preserve">2. Editorial pipeline</w:t>
      </w:r>
    </w:p>
    <w:p>
      <w:pPr>
        <w:spacing w:after="160"/>
      </w:pPr>
      <w:r>
        <w:rPr>
          <w:rFonts w:ascii="Arial" w:cs="Arial" w:eastAsia="Arial" w:hAnsi="Arial"/>
          <w:color w:val="3A3F47"/>
          <w:sz w:val="21"/>
          <w:szCs w:val="21"/>
        </w:rPr>
        <w:t xml:space="preserve">Editing, proofreading, layout, and cover design proceed on a scheduled, transparent timeline.</w:t>
      </w:r>
    </w:p>
    <w:p>
      <w:pPr>
        <w:spacing w:after="40" w:before="100"/>
      </w:pPr>
      <w:r>
        <w:rPr>
          <w:rFonts w:ascii="Arial" w:cs="Arial" w:eastAsia="Arial" w:hAnsi="Arial"/>
          <w:b/>
          <w:bCs/>
          <w:color w:val="0B1F3A"/>
          <w:sz w:val="22"/>
          <w:szCs w:val="22"/>
        </w:rPr>
        <w:t xml:space="preserve">3. ISBN &amp; copyright registration</w:t>
      </w:r>
    </w:p>
    <w:p>
      <w:pPr>
        <w:spacing w:after="160"/>
      </w:pPr>
      <w:r>
        <w:rPr>
          <w:rFonts w:ascii="Arial" w:cs="Arial" w:eastAsia="Arial" w:hAnsi="Arial"/>
          <w:color w:val="3A3F47"/>
          <w:sz w:val="21"/>
          <w:szCs w:val="21"/>
        </w:rPr>
        <w:t xml:space="preserve">Legalku manages ISBN registration with the National Library and, where needed, copyright (HKI) filing to protect the author's work.</w:t>
      </w:r>
    </w:p>
    <w:p>
      <w:pPr>
        <w:spacing w:after="40" w:before="100"/>
      </w:pPr>
      <w:r>
        <w:rPr>
          <w:rFonts w:ascii="Arial" w:cs="Arial" w:eastAsia="Arial" w:hAnsi="Arial"/>
          <w:b/>
          <w:bCs/>
          <w:color w:val="0B1F3A"/>
          <w:sz w:val="22"/>
          <w:szCs w:val="22"/>
        </w:rPr>
        <w:t xml:space="preserve">4. Distribution support</w:t>
      </w:r>
    </w:p>
    <w:p>
      <w:pPr>
        <w:spacing w:after="160"/>
      </w:pPr>
      <w:r>
        <w:rPr>
          <w:rFonts w:ascii="Arial" w:cs="Arial" w:eastAsia="Arial" w:hAnsi="Arial"/>
          <w:color w:val="3A3F47"/>
          <w:sz w:val="21"/>
          <w:szCs w:val="21"/>
        </w:rPr>
        <w:t xml:space="preserve">Finished titles are positioned for distribution to the author's target audience (academic, general readership, or institutional).</w:t>
      </w:r>
    </w:p>
    <w:p>
      <w:pPr>
        <w:spacing w:after="40" w:before="100"/>
      </w:pPr>
      <w:r>
        <w:rPr>
          <w:rFonts w:ascii="Arial" w:cs="Arial" w:eastAsia="Arial" w:hAnsi="Arial"/>
          <w:b/>
          <w:bCs/>
          <w:color w:val="0B1F3A"/>
          <w:sz w:val="22"/>
          <w:szCs w:val="22"/>
        </w:rPr>
        <w:t xml:space="preserve">5. Institutional &amp; journal relationships</w:t>
      </w:r>
    </w:p>
    <w:p>
      <w:pPr>
        <w:spacing w:after="160"/>
      </w:pPr>
      <w:r>
        <w:rPr>
          <w:rFonts w:ascii="Arial" w:cs="Arial" w:eastAsia="Arial" w:hAnsi="Arial"/>
          <w:color w:val="3A3F47"/>
          <w:sz w:val="21"/>
          <w:szCs w:val="21"/>
        </w:rPr>
        <w:t xml:space="preserve">Universities and research institutions publishing journals on a recurring basis represent a higher-volume, repeat-revenue segment.</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moat here is process discipline plus legal integration, not exclusive access to any single resource.</w:t>
      </w:r>
    </w:p>
    <w:p>
      <w:pPr>
        <w:spacing w:after="100"/>
      </w:pPr>
    </w:p>
    <w:p>
      <w:pPr>
        <w:spacing w:after="30" w:before="80"/>
      </w:pPr>
      <w:r>
        <w:rPr>
          <w:rFonts w:ascii="Arial" w:cs="Arial" w:eastAsia="Arial" w:hAnsi="Arial"/>
          <w:b/>
          <w:bCs/>
          <w:color w:val="0B1F3A"/>
          <w:sz w:val="21"/>
          <w:szCs w:val="21"/>
        </w:rPr>
        <w:t xml:space="preserve">Scheduled, reliable editorial process</w:t>
      </w:r>
    </w:p>
    <w:p>
      <w:pPr>
        <w:spacing w:after="160"/>
      </w:pPr>
      <w:r>
        <w:rPr>
          <w:rFonts w:ascii="Arial" w:cs="Arial" w:eastAsia="Arial" w:hAnsi="Arial"/>
          <w:color w:val="3A3F47"/>
          <w:sz w:val="21"/>
          <w:szCs w:val="21"/>
        </w:rPr>
        <w:t xml:space="preserve">A consistent, on-time editorial pipeline is a genuine differentiator in a market where self-publishing and informal services are common and inconsistent.</w:t>
      </w:r>
    </w:p>
    <w:p>
      <w:pPr>
        <w:spacing w:after="30" w:before="80"/>
      </w:pPr>
      <w:r>
        <w:rPr>
          <w:rFonts w:ascii="Arial" w:cs="Arial" w:eastAsia="Arial" w:hAnsi="Arial"/>
          <w:b/>
          <w:bCs/>
          <w:color w:val="0B1F3A"/>
          <w:sz w:val="21"/>
          <w:szCs w:val="21"/>
        </w:rPr>
        <w:t xml:space="preserve">Legal-services integration</w:t>
      </w:r>
    </w:p>
    <w:p>
      <w:pPr>
        <w:spacing w:after="160"/>
      </w:pPr>
      <w:r>
        <w:rPr>
          <w:rFonts w:ascii="Arial" w:cs="Arial" w:eastAsia="Arial" w:hAnsi="Arial"/>
          <w:color w:val="3A3F47"/>
          <w:sz w:val="21"/>
          <w:szCs w:val="21"/>
        </w:rPr>
        <w:t xml:space="preserve">In-house access to the Legal Services division for copyright (HKI) registration is a meaningful advantage most publishing services cannot offer directly.</w:t>
      </w:r>
    </w:p>
    <w:p>
      <w:pPr>
        <w:spacing w:after="30" w:before="80"/>
      </w:pPr>
      <w:r>
        <w:rPr>
          <w:rFonts w:ascii="Arial" w:cs="Arial" w:eastAsia="Arial" w:hAnsi="Arial"/>
          <w:b/>
          <w:bCs/>
          <w:color w:val="0B1F3A"/>
          <w:sz w:val="21"/>
          <w:szCs w:val="21"/>
        </w:rPr>
        <w:t xml:space="preserve">Serves the full author spectrum</w:t>
      </w:r>
    </w:p>
    <w:p>
      <w:pPr>
        <w:spacing w:after="160"/>
      </w:pPr>
      <w:r>
        <w:rPr>
          <w:rFonts w:ascii="Arial" w:cs="Arial" w:eastAsia="Arial" w:hAnsi="Arial"/>
          <w:color w:val="3A3F47"/>
          <w:sz w:val="21"/>
          <w:szCs w:val="21"/>
        </w:rPr>
        <w:t xml:space="preserve">From first-time authors to academics and researchers — breadth that lets the division capture both individual and institutional demand.</w:t>
      </w:r>
    </w:p>
    <w:p>
      <w:pPr>
        <w:spacing w:after="30" w:before="80"/>
      </w:pPr>
      <w:r>
        <w:rPr>
          <w:rFonts w:ascii="Arial" w:cs="Arial" w:eastAsia="Arial" w:hAnsi="Arial"/>
          <w:b/>
          <w:bCs/>
          <w:color w:val="0B1F3A"/>
          <w:sz w:val="21"/>
          <w:szCs w:val="21"/>
        </w:rPr>
        <w:t xml:space="preserve">One-stop, ISBN-to-HKI service</w:t>
      </w:r>
    </w:p>
    <w:p>
      <w:pPr>
        <w:spacing w:after="160"/>
      </w:pPr>
      <w:r>
        <w:rPr>
          <w:rFonts w:ascii="Arial" w:cs="Arial" w:eastAsia="Arial" w:hAnsi="Arial"/>
          <w:color w:val="3A3F47"/>
          <w:sz w:val="21"/>
          <w:szCs w:val="21"/>
        </w:rPr>
        <w:t xml:space="preserve">Consolidating manuscript, ISBN registration, and copyright filing into a single engagement reduces friction competitors leave for authors to solve themselves.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operates today inside a registered, ratified legal entity, with in-house access to the group's legal-services capability for copyright filings.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Service scope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Editorial, proofreading, layout, cover design, ISBN registration, copyright (HKI) filing support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Individual Authors to a National Institutional Publishing Network</w:t>
      </w:r>
    </w:p>
    <w:p>
      <w:pPr>
        <w:spacing w:after="160"/>
      </w:pPr>
      <w:r>
        <w:rPr>
          <w:rFonts w:ascii="Arial" w:cs="Arial" w:eastAsia="Arial" w:hAnsi="Arial"/>
          <w:color w:val="3A3F47"/>
          <w:sz w:val="21"/>
          <w:szCs w:val="21"/>
        </w:rPr>
        <w:t xml:space="preserve">Growth proceeds from editorial-quality strengthening, to distribution-network expansion, to a fully integrated publishing-and-IP ecosystem.</w:t>
      </w:r>
    </w:p>
    <w:p>
      <w:pPr>
        <w:spacing w:after="100"/>
      </w:pPr>
    </w:p>
    <w:p>
      <w:pPr>
        <w:spacing w:after="40" w:before="100"/>
      </w:pPr>
      <w:r>
        <w:rPr>
          <w:rFonts w:ascii="Arial" w:cs="Arial" w:eastAsia="Arial" w:hAnsi="Arial"/>
          <w:b/>
          <w:bCs/>
          <w:color w:val="0B1F3A"/>
          <w:sz w:val="22"/>
          <w:szCs w:val="22"/>
        </w:rPr>
        <w:t xml:space="preserve">1. Years 1–2: Strengthen editorial quality</w:t>
      </w:r>
    </w:p>
    <w:p>
      <w:pPr>
        <w:spacing w:after="160"/>
      </w:pPr>
      <w:r>
        <w:rPr>
          <w:rFonts w:ascii="Arial" w:cs="Arial" w:eastAsia="Arial" w:hAnsi="Arial"/>
          <w:color w:val="3A3F47"/>
          <w:sz w:val="21"/>
          <w:szCs w:val="21"/>
        </w:rPr>
        <w:t xml:space="preserve">Deepen editorial, layout, and publishing-process quality for both ISBN-registered books and accredited scientific journals.</w:t>
      </w:r>
    </w:p>
    <w:p>
      <w:pPr>
        <w:spacing w:after="40" w:before="100"/>
      </w:pPr>
      <w:r>
        <w:rPr>
          <w:rFonts w:ascii="Arial" w:cs="Arial" w:eastAsia="Arial" w:hAnsi="Arial"/>
          <w:b/>
          <w:bCs/>
          <w:color w:val="0B1F3A"/>
          <w:sz w:val="22"/>
          <w:szCs w:val="22"/>
        </w:rPr>
        <w:t xml:space="preserve">2. Years 3–5: Expand distribution network</w:t>
      </w:r>
    </w:p>
    <w:p>
      <w:pPr>
        <w:spacing w:after="160"/>
      </w:pPr>
      <w:r>
        <w:rPr>
          <w:rFonts w:ascii="Arial" w:cs="Arial" w:eastAsia="Arial" w:hAnsi="Arial"/>
          <w:color w:val="3A3F47"/>
          <w:sz w:val="21"/>
          <w:szCs w:val="21"/>
        </w:rPr>
        <w:t xml:space="preserve">Broaden distribution partnerships with more universities, authors, and research institutions across regions.</w:t>
      </w:r>
    </w:p>
    <w:p>
      <w:pPr>
        <w:spacing w:after="40" w:before="100"/>
      </w:pPr>
      <w:r>
        <w:rPr>
          <w:rFonts w:ascii="Arial" w:cs="Arial" w:eastAsia="Arial" w:hAnsi="Arial"/>
          <w:b/>
          <w:bCs/>
          <w:color w:val="0B1F3A"/>
          <w:sz w:val="22"/>
          <w:szCs w:val="22"/>
        </w:rPr>
        <w:t xml:space="preserve">3. Year 5+: Integrated publishing ecosystem</w:t>
      </w:r>
    </w:p>
    <w:p>
      <w:pPr>
        <w:spacing w:after="160"/>
      </w:pPr>
      <w:r>
        <w:rPr>
          <w:rFonts w:ascii="Arial" w:cs="Arial" w:eastAsia="Arial" w:hAnsi="Arial"/>
          <w:color w:val="3A3F47"/>
          <w:sz w:val="21"/>
          <w:szCs w:val="21"/>
        </w:rPr>
        <w:t xml:space="preserve">Build a fully integrated publishing-and-IP ecosystem in partnership with the group's Legal Services division.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Near-term scale is national. Longer-term, Indonesian-language academic publishing has natural adjacency to the broader Southeast Asian and Indonesian-diaspora academic community — a directional opportunity for future exploration,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Publishing operations are conducted under a registered legal entity, in line with National Library of Indonesia (Perpustakaan Nasional RI) ISBN issuance requirements, with copyright (HKI) filing support available to every author.</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Publish Indonesia's Next Generation of Authors and Researchers With Us</w:t>
      </w:r>
    </w:p>
    <w:p>
      <w:pPr>
        <w:spacing w:after="160"/>
      </w:pPr>
      <w:r>
        <w:rPr>
          <w:rFonts w:ascii="Arial" w:cs="Arial" w:eastAsia="Arial" w:hAnsi="Arial"/>
          <w:color w:val="3A3F47"/>
          <w:sz w:val="21"/>
          <w:szCs w:val="21"/>
        </w:rPr>
        <w:t xml:space="preserve">We welcome conversations with investors and strategic partners who see the opportunity in a large, sustained, and under-professionalized publishing market.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13"/>
          <w:footerReference w:type="default" r:id="rId14"/>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4 OF 6</w:t>
      </w:r>
    </w:p>
    <w:p>
      <w:pPr>
        <w:pStyle w:val="Heading1"/>
        <w:spacing w:after="200" w:before="40"/>
      </w:pPr>
      <w:r>
        <w:rPr>
          <w:rFonts w:ascii="Arial" w:cs="Arial" w:eastAsia="Arial" w:hAnsi="Arial"/>
          <w:b/>
          <w:bCs/>
          <w:color w:val="0B1F3A"/>
          <w:sz w:val="32"/>
          <w:szCs w:val="32"/>
        </w:rPr>
        <w:t xml:space="preserve">Quarentine Bottled Water</w:t>
      </w:r>
    </w:p>
    <w:p>
      <w:pPr>
        <w:spacing w:after="160"/>
      </w:pPr>
      <w:r>
        <w:rPr>
          <w:rFonts w:ascii="Arial" w:cs="Arial" w:eastAsia="Arial" w:hAnsi="Arial"/>
          <w:i/>
          <w:iCs/>
          <w:color w:val="3A3F47"/>
          <w:sz w:val="21"/>
          <w:szCs w:val="21"/>
        </w:rPr>
        <w:t xml:space="preserve">Fully certified, hygienic bottled water for corporate, HORECA, and retail distribution in a resilient, essential-goods category.</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Certified Producer in a Large, Stable, Essential-Goods Market</w:t>
      </w:r>
    </w:p>
    <w:p>
      <w:pPr>
        <w:spacing w:after="160"/>
      </w:pPr>
      <w:r>
        <w:rPr>
          <w:rFonts w:ascii="Arial" w:cs="Arial" w:eastAsia="Arial" w:hAnsi="Arial"/>
          <w:color w:val="3A3F47"/>
          <w:sz w:val="21"/>
          <w:szCs w:val="21"/>
        </w:rPr>
        <w:t xml:space="preserve">Legalku's Air Mineral Quarentine division produces hygienic, tested, fully licensed bottled drinking water (AMDK) under the Quarentine brand, serving office, event, HORECA (hotel/restaurant/cafe), and retail-distribution demand — inside Indonesia's large and consistently growing national AMDK market.</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4675"/>
        <w:gridCol w:w="4675"/>
      </w:tblGrid>
      <w:tr>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45–46B</w:t>
            </w:r>
          </w:p>
          <w:p>
            <w:r>
              <w:rPr>
                <w:rFonts w:ascii="Arial" w:cs="Arial" w:eastAsia="Arial" w:hAnsi="Arial"/>
                <w:color w:val="3A3F47"/>
                <w:sz w:val="16"/>
                <w:szCs w:val="16"/>
              </w:rPr>
              <w:t xml:space="preserve">Litres — national AMDK market volume per year</w:t>
            </w:r>
          </w:p>
        </w:tc>
        <w:tc>
          <w:tcPr>
            <w:tcW w:type="dxa" w:w="4675"/>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4–6%</w:t>
            </w:r>
          </w:p>
          <w:p>
            <w:r>
              <w:rPr>
                <w:rFonts w:ascii="Arial" w:cs="Arial" w:eastAsia="Arial" w:hAnsi="Arial"/>
                <w:color w:val="3A3F47"/>
                <w:sz w:val="16"/>
                <w:szCs w:val="16"/>
              </w:rPr>
              <w:t xml:space="preserve">Projected AMDK industry growth, 2026</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Certified bottled-water production.</w:t>
      </w:r>
      <w:r>
        <w:rPr>
          <w:rFonts w:ascii="Arial" w:cs="Arial" w:eastAsia="Arial" w:hAnsi="Arial"/>
          <w:color w:val="3A3F47"/>
          <w:sz w:val="21"/>
          <w:szCs w:val="21"/>
        </w:rPr>
        <w:t xml:space="preserve"> Hygienic, quality-tested AMDK production under the Quarentine brand, across multiple pack sizes for office, event, HORECA, and retail-distribution customers.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An essential good with stable, growing demand.</w:t>
      </w:r>
      <w:r>
        <w:rPr>
          <w:rFonts w:ascii="Arial" w:cs="Arial" w:eastAsia="Arial" w:hAnsi="Arial"/>
          <w:color w:val="3A3F47"/>
          <w:sz w:val="21"/>
          <w:szCs w:val="21"/>
        </w:rPr>
        <w:t xml:space="preserve"> Bottled water is a daily-necessity category; national industry data shows steady multi-billion-litre annual volume with continued growth into 2026.</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Reliable, Certified Water Supply Is Not a Given — We Make It Dependable</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Bulk buyers need dependable, certified supply.</w:t>
      </w:r>
      <w:r>
        <w:rPr>
          <w:rFonts w:ascii="Arial" w:cs="Arial" w:eastAsia="Arial" w:hAnsi="Arial"/>
          <w:color w:val="3A3F47"/>
          <w:sz w:val="21"/>
          <w:szCs w:val="21"/>
        </w:rPr>
        <w:t xml:space="preserve"> Offices, event organizers, and HORECA operators need a bottled-water supplier they can rely on for consistent quality, hygiene, and full regulatory compliance — attributes not guaranteed across Indonesia's fragmented AMDK supplier base.</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Fully certified, quality-controlled production.</w:t>
      </w:r>
      <w:r>
        <w:rPr>
          <w:rFonts w:ascii="Arial" w:cs="Arial" w:eastAsia="Arial" w:hAnsi="Arial"/>
          <w:color w:val="3A3F47"/>
          <w:sz w:val="21"/>
          <w:szCs w:val="21"/>
        </w:rPr>
        <w:t xml:space="preserve"> Quarentine production adheres to strict food-safety and hygiene standards at every stage, with full legal/regulatory compliance, giving corporate, HORECA, and retail customers a supplier they can depend 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national AMDK (bottled drinking water) market is estimated at 45–46 billion litres per year, with the industry association projecting 4–6% growth in 2026 (source: Asosiasi Produsen Air Minum Dalam Kemasan Indonesia / Amdatara, published via Kontan.co.id, 2026), driven by the category's status as a stable daily necessity.</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Multi-Billion-Litre National Market, Growing Every Year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~45.5 billion litres / year</w:t>
            </w:r>
            <w:r>
              <w:rPr>
                <w:rFonts w:ascii="Arial" w:cs="Arial" w:eastAsia="Arial" w:hAnsi="Arial"/>
                <w:b w:val="false"/>
                <w:bCs w:val="false"/>
                <w:color w:val="3A3F47"/>
                <w:sz w:val="19"/>
                <w:szCs w:val="19"/>
              </w:rPr>
              <w:t xml:space="preserve"> — Indonesia's total national AMDK (bottled drinking water) market volume, growing an estimated 4–6% in 2026 (Amdatara / Kontan.co.id, 2026).</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~1% of TAM (~450 million litres / year)</w:t>
            </w:r>
            <w:r>
              <w:rPr>
                <w:rFonts w:ascii="Arial" w:cs="Arial" w:eastAsia="Arial" w:hAnsi="Arial"/>
                <w:b w:val="false"/>
                <w:bCs w:val="false"/>
                <w:color w:val="3A3F47"/>
                <w:sz w:val="19"/>
                <w:szCs w:val="19"/>
              </w:rPr>
              <w:t xml:space="preserve"> — Management's own estimate of the corporate, HORECA, and regional retail-distribution volume realistically reachable from a single Central Java production facility during the current growth phase — an internal planning assumption, not a sourced industry statistic.</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~9–23 million litres / year (target)</w:t>
            </w:r>
            <w:r>
              <w:rPr>
                <w:rFonts w:ascii="Arial" w:cs="Arial" w:eastAsia="Arial" w:hAnsi="Arial"/>
                <w:b w:val="false"/>
                <w:bCs w:val="false"/>
                <w:color w:val="3A3F47"/>
                <w:sz w:val="19"/>
                <w:szCs w:val="19"/>
              </w:rPr>
              <w:t xml:space="preserve"> — Internal 3–5 year planning target: 0.02%–0.05% of TAM, scaling with production-capacity expansion.</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is a directly cited industry statistic (Amdatara / Kontan.co.id, 2026). SAM and SOM are management's own illustrative estimates, explicitly labelled as such because no publicly sourced regional or single-producer breakdown of the AMDK market exists — they are planning assumptions, not audited or third-party-sourced figures.</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Volume-Based Production Sales Across Three Channels</w:t>
      </w:r>
    </w:p>
    <w:p>
      <w:pPr>
        <w:spacing w:after="160"/>
      </w:pPr>
      <w:r>
        <w:rPr>
          <w:rFonts w:ascii="Arial" w:cs="Arial" w:eastAsia="Arial" w:hAnsi="Arial"/>
          <w:color w:val="3A3F47"/>
          <w:sz w:val="21"/>
          <w:szCs w:val="21"/>
        </w:rPr>
        <w:t xml:space="preserve">Revenue is generated by selling bottled water in multiple pack sizes across three demand channels, with corporate and HORECA relationships offering the most predictable, repeat volume.</w:t>
      </w:r>
    </w:p>
    <w:p>
      <w:pPr>
        <w:spacing w:after="100"/>
      </w:pPr>
    </w:p>
    <w:p>
      <w:pPr>
        <w:spacing w:after="40" w:before="100"/>
      </w:pPr>
      <w:r>
        <w:rPr>
          <w:rFonts w:ascii="Arial" w:cs="Arial" w:eastAsia="Arial" w:hAnsi="Arial"/>
          <w:b/>
          <w:bCs/>
          <w:color w:val="0B1F3A"/>
          <w:sz w:val="22"/>
          <w:szCs w:val="22"/>
        </w:rPr>
        <w:t xml:space="preserve">1. Production &amp; quality control</w:t>
      </w:r>
    </w:p>
    <w:p>
      <w:pPr>
        <w:spacing w:after="160"/>
      </w:pPr>
      <w:r>
        <w:rPr>
          <w:rFonts w:ascii="Arial" w:cs="Arial" w:eastAsia="Arial" w:hAnsi="Arial"/>
          <w:color w:val="3A3F47"/>
          <w:sz w:val="21"/>
          <w:szCs w:val="21"/>
        </w:rPr>
        <w:t xml:space="preserve">Water is sourced, treated, and bottled under strict food-safety and hygiene standards, across a range of pack sizes.</w:t>
      </w:r>
    </w:p>
    <w:p>
      <w:pPr>
        <w:spacing w:after="40" w:before="100"/>
      </w:pPr>
      <w:r>
        <w:rPr>
          <w:rFonts w:ascii="Arial" w:cs="Arial" w:eastAsia="Arial" w:hAnsi="Arial"/>
          <w:b/>
          <w:bCs/>
          <w:color w:val="0B1F3A"/>
          <w:sz w:val="22"/>
          <w:szCs w:val="22"/>
        </w:rPr>
        <w:t xml:space="preserve">2. Corporate &amp; office supply</w:t>
      </w:r>
    </w:p>
    <w:p>
      <w:pPr>
        <w:spacing w:after="160"/>
      </w:pPr>
      <w:r>
        <w:rPr>
          <w:rFonts w:ascii="Arial" w:cs="Arial" w:eastAsia="Arial" w:hAnsi="Arial"/>
          <w:color w:val="3A3F47"/>
          <w:sz w:val="21"/>
          <w:szCs w:val="21"/>
        </w:rPr>
        <w:t xml:space="preserve">Recurring bulk supply contracts with offices for daily drinking-water needs.</w:t>
      </w:r>
    </w:p>
    <w:p>
      <w:pPr>
        <w:spacing w:after="40" w:before="100"/>
      </w:pPr>
      <w:r>
        <w:rPr>
          <w:rFonts w:ascii="Arial" w:cs="Arial" w:eastAsia="Arial" w:hAnsi="Arial"/>
          <w:b/>
          <w:bCs/>
          <w:color w:val="0B1F3A"/>
          <w:sz w:val="22"/>
          <w:szCs w:val="22"/>
        </w:rPr>
        <w:t xml:space="preserve">3. HORECA channel</w:t>
      </w:r>
    </w:p>
    <w:p>
      <w:pPr>
        <w:spacing w:after="160"/>
      </w:pPr>
      <w:r>
        <w:rPr>
          <w:rFonts w:ascii="Arial" w:cs="Arial" w:eastAsia="Arial" w:hAnsi="Arial"/>
          <w:color w:val="3A3F47"/>
          <w:sz w:val="21"/>
          <w:szCs w:val="21"/>
        </w:rPr>
        <w:t xml:space="preserve">Ongoing supply relationships with hotels, restaurants, and cafes requiring consistent quality and volume.</w:t>
      </w:r>
    </w:p>
    <w:p>
      <w:pPr>
        <w:spacing w:after="40" w:before="100"/>
      </w:pPr>
      <w:r>
        <w:rPr>
          <w:rFonts w:ascii="Arial" w:cs="Arial" w:eastAsia="Arial" w:hAnsi="Arial"/>
          <w:b/>
          <w:bCs/>
          <w:color w:val="0B1F3A"/>
          <w:sz w:val="22"/>
          <w:szCs w:val="22"/>
        </w:rPr>
        <w:t xml:space="preserve">4. Event &amp; retail distribution</w:t>
      </w:r>
    </w:p>
    <w:p>
      <w:pPr>
        <w:spacing w:after="160"/>
      </w:pPr>
      <w:r>
        <w:rPr>
          <w:rFonts w:ascii="Arial" w:cs="Arial" w:eastAsia="Arial" w:hAnsi="Arial"/>
          <w:color w:val="3A3F47"/>
          <w:sz w:val="21"/>
          <w:szCs w:val="21"/>
        </w:rPr>
        <w:t xml:space="preserve">One-off and seasonal event supply, plus distribution into retail channels for broader consumer reach.</w:t>
      </w:r>
    </w:p>
    <w:p>
      <w:pPr>
        <w:spacing w:after="40" w:before="100"/>
      </w:pPr>
      <w:r>
        <w:rPr>
          <w:rFonts w:ascii="Arial" w:cs="Arial" w:eastAsia="Arial" w:hAnsi="Arial"/>
          <w:b/>
          <w:bCs/>
          <w:color w:val="0B1F3A"/>
          <w:sz w:val="22"/>
          <w:szCs w:val="22"/>
        </w:rPr>
        <w:t xml:space="preserve">5. Group cross-referral</w:t>
      </w:r>
    </w:p>
    <w:p>
      <w:pPr>
        <w:spacing w:after="160"/>
      </w:pPr>
      <w:r>
        <w:rPr>
          <w:rFonts w:ascii="Arial" w:cs="Arial" w:eastAsia="Arial" w:hAnsi="Arial"/>
          <w:color w:val="3A3F47"/>
          <w:sz w:val="21"/>
          <w:szCs w:val="21"/>
        </w:rPr>
        <w:t xml:space="preserve">Corporate supply relationships create natural introductions to the group's Legal Services and Business Licensing divisions, and vice versa.</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In a commodity-adjacent category, the moat is certification, consistency, and group backing rather than product differentiation alone.</w:t>
      </w:r>
    </w:p>
    <w:p>
      <w:pPr>
        <w:spacing w:after="100"/>
      </w:pPr>
    </w:p>
    <w:p>
      <w:pPr>
        <w:spacing w:after="30" w:before="80"/>
      </w:pPr>
      <w:r>
        <w:rPr>
          <w:rFonts w:ascii="Arial" w:cs="Arial" w:eastAsia="Arial" w:hAnsi="Arial"/>
          <w:b/>
          <w:bCs/>
          <w:color w:val="0B1F3A"/>
          <w:sz w:val="21"/>
          <w:szCs w:val="21"/>
        </w:rPr>
        <w:t xml:space="preserve">Full regulatory compliance</w:t>
      </w:r>
    </w:p>
    <w:p>
      <w:pPr>
        <w:spacing w:after="160"/>
      </w:pPr>
      <w:r>
        <w:rPr>
          <w:rFonts w:ascii="Arial" w:cs="Arial" w:eastAsia="Arial" w:hAnsi="Arial"/>
          <w:color w:val="3A3F47"/>
          <w:sz w:val="21"/>
          <w:szCs w:val="21"/>
        </w:rPr>
        <w:t xml:space="preserve">Meeting Indonesia's AMDK certification requirements (trademark, ISO, SNI, BPOM production and distribution permits) is a real barrier that not every producer clears cleanly.</w:t>
      </w:r>
    </w:p>
    <w:p>
      <w:pPr>
        <w:spacing w:after="30" w:before="80"/>
      </w:pPr>
      <w:r>
        <w:rPr>
          <w:rFonts w:ascii="Arial" w:cs="Arial" w:eastAsia="Arial" w:hAnsi="Arial"/>
          <w:b/>
          <w:bCs/>
          <w:color w:val="0B1F3A"/>
          <w:sz w:val="21"/>
          <w:szCs w:val="21"/>
        </w:rPr>
        <w:t xml:space="preserve">Hygiene &amp; quality-control discipline</w:t>
      </w:r>
    </w:p>
    <w:p>
      <w:pPr>
        <w:spacing w:after="160"/>
      </w:pPr>
      <w:r>
        <w:rPr>
          <w:rFonts w:ascii="Arial" w:cs="Arial" w:eastAsia="Arial" w:hAnsi="Arial"/>
          <w:color w:val="3A3F47"/>
          <w:sz w:val="21"/>
          <w:szCs w:val="21"/>
        </w:rPr>
        <w:t xml:space="preserve">Consistent adherence to strict food-safety standards protects the brand relationship with corporate and HORECA clients who cannot risk supply-quality failures.</w:t>
      </w:r>
    </w:p>
    <w:p>
      <w:pPr>
        <w:spacing w:after="30" w:before="80"/>
      </w:pPr>
      <w:r>
        <w:rPr>
          <w:rFonts w:ascii="Arial" w:cs="Arial" w:eastAsia="Arial" w:hAnsi="Arial"/>
          <w:b/>
          <w:bCs/>
          <w:color w:val="0B1F3A"/>
          <w:sz w:val="21"/>
          <w:szCs w:val="21"/>
        </w:rPr>
        <w:t xml:space="preserve">Backed by an integrated group</w:t>
      </w:r>
    </w:p>
    <w:p>
      <w:pPr>
        <w:spacing w:after="160"/>
      </w:pPr>
      <w:r>
        <w:rPr>
          <w:rFonts w:ascii="Arial" w:cs="Arial" w:eastAsia="Arial" w:hAnsi="Arial"/>
          <w:color w:val="3A3F47"/>
          <w:sz w:val="21"/>
          <w:szCs w:val="21"/>
        </w:rPr>
        <w:t xml:space="preserve">Part of a six-division ecosystem with its own in-house legal and licensing support, rather than a standalone bottler exposed alone to regulatory risk.</w:t>
      </w:r>
    </w:p>
    <w:p>
      <w:pPr>
        <w:spacing w:after="30" w:before="80"/>
      </w:pPr>
      <w:r>
        <w:rPr>
          <w:rFonts w:ascii="Arial" w:cs="Arial" w:eastAsia="Arial" w:hAnsi="Arial"/>
          <w:b/>
          <w:bCs/>
          <w:color w:val="0B1F3A"/>
          <w:sz w:val="21"/>
          <w:szCs w:val="21"/>
        </w:rPr>
        <w:t xml:space="preserve">Category resilience</w:t>
      </w:r>
    </w:p>
    <w:p>
      <w:pPr>
        <w:spacing w:after="160"/>
      </w:pPr>
      <w:r>
        <w:rPr>
          <w:rFonts w:ascii="Arial" w:cs="Arial" w:eastAsia="Arial" w:hAnsi="Arial"/>
          <w:color w:val="3A3F47"/>
          <w:sz w:val="21"/>
          <w:szCs w:val="21"/>
        </w:rPr>
        <w:t xml:space="preserve">Bottled water's status as a daily necessity makes demand comparatively resistant to economic cycles versus discretionary consumer categories.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Early-Stage, Operationally Active, Financials Available Under NDA</w:t>
      </w:r>
    </w:p>
    <w:p>
      <w:pPr>
        <w:spacing w:after="160"/>
      </w:pPr>
      <w:r>
        <w:rPr>
          <w:rFonts w:ascii="Arial" w:cs="Arial" w:eastAsia="Arial" w:hAnsi="Arial"/>
          <w:color w:val="3A3F47"/>
          <w:sz w:val="21"/>
          <w:szCs w:val="21"/>
        </w:rPr>
        <w:t xml:space="preserve">The division operates today under a registered legal entity, with the Quarentine brand and product-level certifications in place ahead of scaled commercial distribution.</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Brand &amp; product certification</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Trademark (HKI), ISO, SNI, BPOM production permit (Izin MD), and BPOM distribution permit — see Compliance section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Channels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Office/corporate, event, HORECA, and retail distribution</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 Single Facility to a Multi-Region Supply Network</w:t>
      </w:r>
    </w:p>
    <w:p>
      <w:pPr>
        <w:spacing w:after="160"/>
      </w:pPr>
      <w:r>
        <w:rPr>
          <w:rFonts w:ascii="Arial" w:cs="Arial" w:eastAsia="Arial" w:hAnsi="Arial"/>
          <w:color w:val="3A3F47"/>
          <w:sz w:val="21"/>
          <w:szCs w:val="21"/>
        </w:rPr>
        <w:t xml:space="preserve">Growth proceeds from certification and quality consolidation, to capacity and distribution expansion, to deeper corporate and HORECA market penetration.</w:t>
      </w:r>
    </w:p>
    <w:p>
      <w:pPr>
        <w:spacing w:after="100"/>
      </w:pPr>
    </w:p>
    <w:p>
      <w:pPr>
        <w:spacing w:after="40" w:before="100"/>
      </w:pPr>
      <w:r>
        <w:rPr>
          <w:rFonts w:ascii="Arial" w:cs="Arial" w:eastAsia="Arial" w:hAnsi="Arial"/>
          <w:b/>
          <w:bCs/>
          <w:color w:val="0B1F3A"/>
          <w:sz w:val="22"/>
          <w:szCs w:val="22"/>
        </w:rPr>
        <w:t xml:space="preserve">1. Years 1–2: Strengthen production &amp; legality</w:t>
      </w:r>
    </w:p>
    <w:p>
      <w:pPr>
        <w:spacing w:after="160"/>
      </w:pPr>
      <w:r>
        <w:rPr>
          <w:rFonts w:ascii="Arial" w:cs="Arial" w:eastAsia="Arial" w:hAnsi="Arial"/>
          <w:color w:val="3A3F47"/>
          <w:sz w:val="21"/>
          <w:szCs w:val="21"/>
        </w:rPr>
        <w:t xml:space="preserve">Ensure production standards and certifications (Trademark, ISO, SNI, BPOM) and quality control are consistently applied across all product variants.</w:t>
      </w:r>
    </w:p>
    <w:p>
      <w:pPr>
        <w:spacing w:after="40" w:before="100"/>
      </w:pPr>
      <w:r>
        <w:rPr>
          <w:rFonts w:ascii="Arial" w:cs="Arial" w:eastAsia="Arial" w:hAnsi="Arial"/>
          <w:b/>
          <w:bCs/>
          <w:color w:val="0B1F3A"/>
          <w:sz w:val="22"/>
          <w:szCs w:val="22"/>
        </w:rPr>
        <w:t xml:space="preserve">2. Years 3–5: Expand capacity &amp; distribution</w:t>
      </w:r>
    </w:p>
    <w:p>
      <w:pPr>
        <w:spacing w:after="160"/>
      </w:pPr>
      <w:r>
        <w:rPr>
          <w:rFonts w:ascii="Arial" w:cs="Arial" w:eastAsia="Arial" w:hAnsi="Arial"/>
          <w:color w:val="3A3F47"/>
          <w:sz w:val="21"/>
          <w:szCs w:val="21"/>
        </w:rPr>
        <w:t xml:space="preserve">Expand production capacity and distributor networks across Indonesian regions, through both online and offline sales channels.</w:t>
      </w:r>
    </w:p>
    <w:p>
      <w:pPr>
        <w:spacing w:after="40" w:before="100"/>
      </w:pPr>
      <w:r>
        <w:rPr>
          <w:rFonts w:ascii="Arial" w:cs="Arial" w:eastAsia="Arial" w:hAnsi="Arial"/>
          <w:b/>
          <w:bCs/>
          <w:color w:val="0B1F3A"/>
          <w:sz w:val="22"/>
          <w:szCs w:val="22"/>
        </w:rPr>
        <w:t xml:space="preserve">3. Year 5+: Corporate &amp; HORECA penetration</w:t>
      </w:r>
    </w:p>
    <w:p>
      <w:pPr>
        <w:spacing w:after="160"/>
      </w:pPr>
      <w:r>
        <w:rPr>
          <w:rFonts w:ascii="Arial" w:cs="Arial" w:eastAsia="Arial" w:hAnsi="Arial"/>
          <w:color w:val="3A3F47"/>
          <w:sz w:val="21"/>
          <w:szCs w:val="21"/>
        </w:rPr>
        <w:t xml:space="preserve">Grow market share in the corporate, HORECA, and large-scale retail segments as the national AMDK industry continues to grow.</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Bottled-water production and distribution are inherently regional due to shipping-cost economics; the most realistic scale path is multi-site production within Indonesia rather than direct cross-border export. Cross-border relevance would come from replicating the certified-production and quality-control playbook in other Southeast Asian AMDK markets — a directional option, not a committed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Quarentine products are produced and distributed with the full certification required for bottled drinking water in Indonesia, from brand protection through to market-release approval.</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Trademark (HKI):</w:t>
      </w:r>
      <w:r>
        <w:rPr>
          <w:rFonts w:ascii="Arial" w:cs="Arial" w:eastAsia="Arial" w:hAnsi="Arial"/>
          <w:color w:val="3A3F47"/>
          <w:sz w:val="21"/>
          <w:szCs w:val="21"/>
        </w:rPr>
        <w:t xml:space="preserve"> The Quarentine brand is registered and legally protected as company intellectual property.</w:t>
      </w:r>
    </w:p>
    <w:p>
      <w:pPr>
        <w:pStyle w:val="ListParagraph"/>
        <w:numPr>
          <w:ilvl w:val="0"/>
          <w:numId w:val="1"/>
        </w:numPr>
        <w:spacing w:after="100"/>
      </w:pPr>
      <w:r>
        <w:rPr>
          <w:rFonts w:ascii="Arial" w:cs="Arial" w:eastAsia="Arial" w:hAnsi="Arial"/>
          <w:b/>
          <w:bCs/>
          <w:color w:val="3A3F47"/>
          <w:sz w:val="21"/>
          <w:szCs w:val="21"/>
        </w:rPr>
        <w:t xml:space="preserve">ISO:</w:t>
      </w:r>
      <w:r>
        <w:rPr>
          <w:rFonts w:ascii="Arial" w:cs="Arial" w:eastAsia="Arial" w:hAnsi="Arial"/>
          <w:color w:val="3A3F47"/>
          <w:sz w:val="21"/>
          <w:szCs w:val="21"/>
        </w:rPr>
        <w:t xml:space="preserve"> Production quality-management practices follow ISO standards applicable to bottled-water manufacturing.</w:t>
      </w:r>
    </w:p>
    <w:p>
      <w:pPr>
        <w:pStyle w:val="ListParagraph"/>
        <w:numPr>
          <w:ilvl w:val="0"/>
          <w:numId w:val="1"/>
        </w:numPr>
        <w:spacing w:after="100"/>
      </w:pPr>
      <w:r>
        <w:rPr>
          <w:rFonts w:ascii="Arial" w:cs="Arial" w:eastAsia="Arial" w:hAnsi="Arial"/>
          <w:b/>
          <w:bCs/>
          <w:color w:val="3A3F47"/>
          <w:sz w:val="21"/>
          <w:szCs w:val="21"/>
        </w:rPr>
        <w:t xml:space="preserve">SNI:</w:t>
      </w:r>
      <w:r>
        <w:rPr>
          <w:rFonts w:ascii="Arial" w:cs="Arial" w:eastAsia="Arial" w:hAnsi="Arial"/>
          <w:color w:val="3A3F47"/>
          <w:sz w:val="21"/>
          <w:szCs w:val="21"/>
        </w:rPr>
        <w:t xml:space="preserve"> Products are manufactured in accordance with Indonesian National Standards (SNI) for bottled drinking water.</w:t>
      </w:r>
    </w:p>
    <w:p>
      <w:pPr>
        <w:pStyle w:val="ListParagraph"/>
        <w:numPr>
          <w:ilvl w:val="0"/>
          <w:numId w:val="1"/>
        </w:numPr>
        <w:spacing w:after="100"/>
      </w:pPr>
      <w:r>
        <w:rPr>
          <w:rFonts w:ascii="Arial" w:cs="Arial" w:eastAsia="Arial" w:hAnsi="Arial"/>
          <w:b/>
          <w:bCs/>
          <w:color w:val="3A3F47"/>
          <w:sz w:val="21"/>
          <w:szCs w:val="21"/>
        </w:rPr>
        <w:t xml:space="preserve">BPOM Production Permit (Izin MD):</w:t>
      </w:r>
      <w:r>
        <w:rPr>
          <w:rFonts w:ascii="Arial" w:cs="Arial" w:eastAsia="Arial" w:hAnsi="Arial"/>
          <w:color w:val="3A3F47"/>
          <w:sz w:val="21"/>
          <w:szCs w:val="21"/>
        </w:rPr>
        <w:t xml:space="preserve"> The production facility meets BPOM's processed-food production licensing requirements.</w:t>
      </w:r>
    </w:p>
    <w:p>
      <w:pPr>
        <w:pStyle w:val="ListParagraph"/>
        <w:numPr>
          <w:ilvl w:val="0"/>
          <w:numId w:val="1"/>
        </w:numPr>
        <w:spacing w:after="100"/>
      </w:pPr>
      <w:r>
        <w:rPr>
          <w:rFonts w:ascii="Arial" w:cs="Arial" w:eastAsia="Arial" w:hAnsi="Arial"/>
          <w:b/>
          <w:bCs/>
          <w:color w:val="3A3F47"/>
          <w:sz w:val="21"/>
          <w:szCs w:val="21"/>
        </w:rPr>
        <w:t xml:space="preserve">BPOM Distribution Permit:</w:t>
      </w:r>
      <w:r>
        <w:rPr>
          <w:rFonts w:ascii="Arial" w:cs="Arial" w:eastAsia="Arial" w:hAnsi="Arial"/>
          <w:color w:val="3A3F47"/>
          <w:sz w:val="21"/>
          <w:szCs w:val="21"/>
        </w:rPr>
        <w:t xml:space="preserve"> Products carry a BPOM market-release (distribution) permit prior to being sold to consumers.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Full copies of the Trademark, ISO, SNI, and BPOM certificates are available for due diligence upon request from qualified prospective partners and investors.</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Invest in a Certified Producer in an Essential, Growing Category</w:t>
      </w:r>
    </w:p>
    <w:p>
      <w:pPr>
        <w:spacing w:after="160"/>
      </w:pPr>
      <w:r>
        <w:rPr>
          <w:rFonts w:ascii="Arial" w:cs="Arial" w:eastAsia="Arial" w:hAnsi="Arial"/>
          <w:color w:val="3A3F47"/>
          <w:sz w:val="21"/>
          <w:szCs w:val="21"/>
        </w:rPr>
        <w:t xml:space="preserve">We welcome conversations with investors and strategic partners who want exposure to Indonesia's resilient bottled-water category through a fully certified, group-backed producer.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15"/>
          <w:footerReference w:type="default" r:id="rId16"/>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5 OF 6</w:t>
      </w:r>
    </w:p>
    <w:p>
      <w:pPr>
        <w:pStyle w:val="Heading1"/>
        <w:spacing w:after="200" w:before="40"/>
      </w:pPr>
      <w:r>
        <w:rPr>
          <w:rFonts w:ascii="Arial" w:cs="Arial" w:eastAsia="Arial" w:hAnsi="Arial"/>
          <w:b/>
          <w:bCs/>
          <w:color w:val="0B1F3A"/>
          <w:sz w:val="32"/>
          <w:szCs w:val="32"/>
        </w:rPr>
        <w:t xml:space="preserve">Aplikasi Legalku</w:t>
      </w:r>
    </w:p>
    <w:p>
      <w:pPr>
        <w:spacing w:after="160"/>
      </w:pPr>
      <w:r>
        <w:rPr>
          <w:rFonts w:ascii="Arial" w:cs="Arial" w:eastAsia="Arial" w:hAnsi="Arial"/>
          <w:i/>
          <w:iCs/>
          <w:color w:val="3A3F47"/>
          <w:sz w:val="21"/>
          <w:szCs w:val="21"/>
        </w:rPr>
        <w:t xml:space="preserve">The nationwide legal-tech platform connecting justice-seekers to licensed advocates, with user-chosen advocates and transparent, self-agreed fees.</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Nationwide Digital Bridge Across Indonesia's Advocate-Access Gap</w:t>
      </w:r>
    </w:p>
    <w:p>
      <w:pPr>
        <w:spacing w:after="160"/>
      </w:pPr>
      <w:r>
        <w:rPr>
          <w:rFonts w:ascii="Arial" w:cs="Arial" w:eastAsia="Arial" w:hAnsi="Arial"/>
          <w:color w:val="3A3F47"/>
          <w:sz w:val="21"/>
          <w:szCs w:val="21"/>
        </w:rPr>
        <w:t xml:space="preserve">Aplikasi Legalku is a legal-tech platform, live on Google Play (play.google.com/store/apps/details?id=id.applegalku.android), that connects the public with advocates online. Users choose their own advocate and agree on consultation fees transparently, with service reach across all of Indonesia — extending the Legal Services division's practice into a scalable digital channel.</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3A3F47"/>
                <w:sz w:val="16"/>
                <w:szCs w:val="16"/>
              </w:rPr>
              <w:t xml:space="preserve">Registered advocates nationwide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288.3M</w:t>
            </w:r>
          </w:p>
          <w:p>
            <w:r>
              <w:rPr>
                <w:rFonts w:ascii="Arial" w:cs="Arial" w:eastAsia="Arial" w:hAnsi="Arial"/>
                <w:color w:val="3A3F47"/>
                <w:sz w:val="16"/>
                <w:szCs w:val="16"/>
              </w:rPr>
              <w:t xml:space="preserve">Indonesia's population (2025)</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 : 1,150</w:t>
            </w:r>
          </w:p>
          <w:p>
            <w:r>
              <w:rPr>
                <w:rFonts w:ascii="Arial" w:cs="Arial" w:eastAsia="Arial" w:hAnsi="Arial"/>
                <w:color w:val="3A3F47"/>
                <w:sz w:val="16"/>
                <w:szCs w:val="16"/>
              </w:rPr>
              <w:t xml:space="preserve">Bappenas ideal advocate-to-population service ratio</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User-directed, transparent legal-tech marketplace.</w:t>
      </w:r>
      <w:r>
        <w:rPr>
          <w:rFonts w:ascii="Arial" w:cs="Arial" w:eastAsia="Arial" w:hAnsi="Arial"/>
          <w:color w:val="3A3F47"/>
          <w:sz w:val="21"/>
          <w:szCs w:val="21"/>
        </w:rPr>
        <w:t xml:space="preserve"> A mobile platform where users search for, select, and agree consultation fees directly with licensed advocates, nationwide.</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A geography-agnostic answer to a geography-bound shortage.</w:t>
      </w:r>
      <w:r>
        <w:rPr>
          <w:rFonts w:ascii="Arial" w:cs="Arial" w:eastAsia="Arial" w:hAnsi="Arial"/>
          <w:color w:val="3A3F47"/>
          <w:sz w:val="21"/>
          <w:szCs w:val="21"/>
        </w:rPr>
        <w:t xml:space="preserve"> Indonesia's advocate shortage is worst in regions with the fewest local advocates; a digital platform is structurally suited to closing that specific gap.</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Advocate Access Is Geographically Uneven — A Digital Platform Removes the Constraint</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Advocate access varies sharply by region.</w:t>
      </w:r>
      <w:r>
        <w:rPr>
          <w:rFonts w:ascii="Arial" w:cs="Arial" w:eastAsia="Arial" w:hAnsi="Arial"/>
          <w:color w:val="3A3F47"/>
          <w:sz w:val="21"/>
          <w:szCs w:val="21"/>
        </w:rPr>
        <w:t xml:space="preserve"> Indonesia's national advocate shortage is not evenly distributed — many regions have especially limited local access, and prospective clients often cannot easily compare advocates or understand consultation costs before committing.</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A transparent, nationwide digital marketplace.</w:t>
      </w:r>
      <w:r>
        <w:rPr>
          <w:rFonts w:ascii="Arial" w:cs="Arial" w:eastAsia="Arial" w:hAnsi="Arial"/>
          <w:color w:val="3A3F47"/>
          <w:sz w:val="21"/>
          <w:szCs w:val="21"/>
        </w:rPr>
        <w:t xml:space="preserve"> Aplikasi Legalku lets users search and choose an advocate from anywhere in Indonesia and agree on fees transparently before consultation — removing both the geographic and pricing-opacity barriers at once.</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advocate shortage (69,813 registered advocates for ~288.3 million people as of late 2025, versus an ideal ratio of 1:1,150 per Bappenas-referenced research) is compounded by uneven regional distribution. Indonesia's broader legal-tech sector has also seen continued growth in digital legal-consultation platforms, indicating market validation for this model (sources: Republika/Bambang Soesatyo statement, December 2025; Indonesian legal-tech market observation, Bisnis.com/Kompas.com, 2025).</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The Same National Legal-Access Gap, Addressed Digitally and Without Geographic Limits</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288.3 million people</w:t>
            </w:r>
            <w:r>
              <w:rPr>
                <w:rFonts w:ascii="Arial" w:cs="Arial" w:eastAsia="Arial" w:hAnsi="Arial"/>
                <w:b w:val="false"/>
                <w:bCs w:val="false"/>
                <w:color w:val="3A3F47"/>
                <w:sz w:val="19"/>
                <w:szCs w:val="19"/>
              </w:rPr>
              <w:t xml:space="preserve"> — Indonesia's total population (2025) — every person is a potential user of a nationwide digital legal-consultation platform.</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~80.3 million matters / year</w:t>
            </w:r>
            <w:r>
              <w:rPr>
                <w:rFonts w:ascii="Arial" w:cs="Arial" w:eastAsia="Arial" w:hAnsi="Arial"/>
                <w:b w:val="false"/>
                <w:bCs w:val="false"/>
                <w:color w:val="3A3F47"/>
                <w:sz w:val="19"/>
                <w:szCs w:val="19"/>
              </w:rPr>
              <w:t xml:space="preserve"> — The same national licensed-advocate ideal-capacity ceiling as the Legal Services division (69,813 × 1,150 ≈ 80.3M) — since the app's core function is digitally intermediating access to this same national advocate pool, without the geographic limits of a physical office.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~40,000–120,000 consultations / year (target)</w:t>
            </w:r>
            <w:r>
              <w:rPr>
                <w:rFonts w:ascii="Arial" w:cs="Arial" w:eastAsia="Arial" w:hAnsi="Arial"/>
                <w:b w:val="false"/>
                <w:bCs w:val="false"/>
                <w:color w:val="3A3F47"/>
                <w:sz w:val="19"/>
                <w:szCs w:val="19"/>
              </w:rPr>
              <w:t xml:space="preserve"> — Internal 3-year planning target: 0.05%–0.15% of SAM, as the app's user base and advocate-partner network grow.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 and SAM use the same publicly sourced statistics and methodology as the Legal Services division's market sizing (Republika / Bambang Soesatyo statement, December 2025, citing Bappenas-referenced research), reframed around the app's role as a nationwide digital intermediary rather than a single physical practice. SOM is management's own illustrative capture target.</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Platform-Enabled Consultations, With Room for a Take-Rate or Subscription Layer</w:t>
      </w:r>
    </w:p>
    <w:p>
      <w:pPr>
        <w:spacing w:after="160"/>
      </w:pPr>
      <w:r>
        <w:rPr>
          <w:rFonts w:ascii="Arial" w:cs="Arial" w:eastAsia="Arial" w:hAnsi="Arial"/>
          <w:color w:val="3A3F47"/>
          <w:sz w:val="21"/>
          <w:szCs w:val="21"/>
        </w:rPr>
        <w:t xml:space="preserve">The platform's current model is built on transparent, user-agreed consultation fees between users and advocates; monetization mechanics beyond this (such as a platform service fee or advocate subscription tier) represent a natural future evolution rather than a currently committed structure.</w:t>
      </w:r>
    </w:p>
    <w:p>
      <w:pPr>
        <w:spacing w:after="100"/>
      </w:pPr>
    </w:p>
    <w:p>
      <w:pPr>
        <w:spacing w:after="40" w:before="100"/>
      </w:pPr>
      <w:r>
        <w:rPr>
          <w:rFonts w:ascii="Arial" w:cs="Arial" w:eastAsia="Arial" w:hAnsi="Arial"/>
          <w:b/>
          <w:bCs/>
          <w:color w:val="0B1F3A"/>
          <w:sz w:val="22"/>
          <w:szCs w:val="22"/>
        </w:rPr>
        <w:t xml:space="preserve">1. Advocate search &amp; selection</w:t>
      </w:r>
    </w:p>
    <w:p>
      <w:pPr>
        <w:spacing w:after="160"/>
      </w:pPr>
      <w:r>
        <w:rPr>
          <w:rFonts w:ascii="Arial" w:cs="Arial" w:eastAsia="Arial" w:hAnsi="Arial"/>
          <w:color w:val="3A3F47"/>
          <w:sz w:val="21"/>
          <w:szCs w:val="21"/>
        </w:rPr>
        <w:t xml:space="preserve">Users browse and select an advocate on the platform based on their legal need.</w:t>
      </w:r>
    </w:p>
    <w:p>
      <w:pPr>
        <w:spacing w:after="40" w:before="100"/>
      </w:pPr>
      <w:r>
        <w:rPr>
          <w:rFonts w:ascii="Arial" w:cs="Arial" w:eastAsia="Arial" w:hAnsi="Arial"/>
          <w:b/>
          <w:bCs/>
          <w:color w:val="0B1F3A"/>
          <w:sz w:val="22"/>
          <w:szCs w:val="22"/>
        </w:rPr>
        <w:t xml:space="preserve">2. Transparent fee agreement</w:t>
      </w:r>
    </w:p>
    <w:p>
      <w:pPr>
        <w:spacing w:after="160"/>
      </w:pPr>
      <w:r>
        <w:rPr>
          <w:rFonts w:ascii="Arial" w:cs="Arial" w:eastAsia="Arial" w:hAnsi="Arial"/>
          <w:color w:val="3A3F47"/>
          <w:sz w:val="21"/>
          <w:szCs w:val="21"/>
        </w:rPr>
        <w:t xml:space="preserve">User and advocate agree on the consultation fee directly and transparently within the platform, before service begins.</w:t>
      </w:r>
    </w:p>
    <w:p>
      <w:pPr>
        <w:spacing w:after="40" w:before="100"/>
      </w:pPr>
      <w:r>
        <w:rPr>
          <w:rFonts w:ascii="Arial" w:cs="Arial" w:eastAsia="Arial" w:hAnsi="Arial"/>
          <w:b/>
          <w:bCs/>
          <w:color w:val="0B1F3A"/>
          <w:sz w:val="22"/>
          <w:szCs w:val="22"/>
        </w:rPr>
        <w:t xml:space="preserve">3. Digital consultation</w:t>
      </w:r>
    </w:p>
    <w:p>
      <w:pPr>
        <w:spacing w:after="160"/>
      </w:pPr>
      <w:r>
        <w:rPr>
          <w:rFonts w:ascii="Arial" w:cs="Arial" w:eastAsia="Arial" w:hAnsi="Arial"/>
          <w:color w:val="3A3F47"/>
          <w:sz w:val="21"/>
          <w:szCs w:val="21"/>
        </w:rPr>
        <w:t xml:space="preserve">Legal consultation is delivered through the app, removing the need for either party to be physically co-located.</w:t>
      </w:r>
    </w:p>
    <w:p>
      <w:pPr>
        <w:spacing w:after="40" w:before="100"/>
      </w:pPr>
      <w:r>
        <w:rPr>
          <w:rFonts w:ascii="Arial" w:cs="Arial" w:eastAsia="Arial" w:hAnsi="Arial"/>
          <w:b/>
          <w:bCs/>
          <w:color w:val="0B1F3A"/>
          <w:sz w:val="22"/>
          <w:szCs w:val="22"/>
        </w:rPr>
        <w:t xml:space="preserve">4. Network growth</w:t>
      </w:r>
    </w:p>
    <w:p>
      <w:pPr>
        <w:spacing w:after="160"/>
      </w:pPr>
      <w:r>
        <w:rPr>
          <w:rFonts w:ascii="Arial" w:cs="Arial" w:eastAsia="Arial" w:hAnsi="Arial"/>
          <w:color w:val="3A3F47"/>
          <w:sz w:val="21"/>
          <w:szCs w:val="21"/>
        </w:rPr>
        <w:t xml:space="preserve">Each new registered advocate widens the platform's regional coverage; each satisfied user is a potential source of referral-driven growth.</w:t>
      </w:r>
    </w:p>
    <w:p>
      <w:pPr>
        <w:spacing w:after="40" w:before="100"/>
      </w:pPr>
      <w:r>
        <w:rPr>
          <w:rFonts w:ascii="Arial" w:cs="Arial" w:eastAsia="Arial" w:hAnsi="Arial"/>
          <w:b/>
          <w:bCs/>
          <w:color w:val="0B1F3A"/>
          <w:sz w:val="22"/>
          <w:szCs w:val="22"/>
        </w:rPr>
        <w:t xml:space="preserve">5. Future monetization layer</w:t>
      </w:r>
    </w:p>
    <w:p>
      <w:pPr>
        <w:spacing w:after="160"/>
      </w:pPr>
      <w:r>
        <w:rPr>
          <w:rFonts w:ascii="Arial" w:cs="Arial" w:eastAsia="Arial" w:hAnsi="Arial"/>
          <w:color w:val="3A3F47"/>
          <w:sz w:val="21"/>
          <w:szCs w:val="21"/>
        </w:rPr>
        <w:t xml:space="preserve">As the network scales, a platform service fee or advocate subscription tier is a natural, though not yet committed, extension of the current user-to-advocate fee model.</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The platform's defensibility comes from its parent group's existing advocate relationships and legal-market credibility, not from technology alone.</w:t>
      </w:r>
    </w:p>
    <w:p>
      <w:pPr>
        <w:spacing w:after="100"/>
      </w:pPr>
    </w:p>
    <w:p>
      <w:pPr>
        <w:spacing w:after="30" w:before="80"/>
      </w:pPr>
      <w:r>
        <w:rPr>
          <w:rFonts w:ascii="Arial" w:cs="Arial" w:eastAsia="Arial" w:hAnsi="Arial"/>
          <w:b/>
          <w:bCs/>
          <w:color w:val="0B1F3A"/>
          <w:sz w:val="21"/>
          <w:szCs w:val="21"/>
        </w:rPr>
        <w:t xml:space="preserve">Backed by an established legal-services practice</w:t>
      </w:r>
    </w:p>
    <w:p>
      <w:pPr>
        <w:spacing w:after="160"/>
      </w:pPr>
      <w:r>
        <w:rPr>
          <w:rFonts w:ascii="Arial" w:cs="Arial" w:eastAsia="Arial" w:hAnsi="Arial"/>
          <w:color w:val="3A3F47"/>
          <w:sz w:val="21"/>
          <w:szCs w:val="21"/>
        </w:rPr>
        <w:t xml:space="preserve">Aplikasi Legalku launches with the credibility and advocate relationships of the group's existing Legal Services division, rather than starting a two-sided marketplace from zero.</w:t>
      </w:r>
    </w:p>
    <w:p>
      <w:pPr>
        <w:spacing w:after="30" w:before="80"/>
      </w:pPr>
      <w:r>
        <w:rPr>
          <w:rFonts w:ascii="Arial" w:cs="Arial" w:eastAsia="Arial" w:hAnsi="Arial"/>
          <w:b/>
          <w:bCs/>
          <w:color w:val="0B1F3A"/>
          <w:sz w:val="21"/>
          <w:szCs w:val="21"/>
        </w:rPr>
        <w:t xml:space="preserve">Nationwide reach from day one</w:t>
      </w:r>
    </w:p>
    <w:p>
      <w:pPr>
        <w:spacing w:after="160"/>
      </w:pPr>
      <w:r>
        <w:rPr>
          <w:rFonts w:ascii="Arial" w:cs="Arial" w:eastAsia="Arial" w:hAnsi="Arial"/>
          <w:color w:val="3A3F47"/>
          <w:sz w:val="21"/>
          <w:szCs w:val="21"/>
        </w:rPr>
        <w:t xml:space="preserve">Unlike a physical practice, the app is not constrained to a single city or province — it can onboard advocates and users anywhere in Indonesia.</w:t>
      </w:r>
    </w:p>
    <w:p>
      <w:pPr>
        <w:spacing w:after="30" w:before="80"/>
      </w:pPr>
      <w:r>
        <w:rPr>
          <w:rFonts w:ascii="Arial" w:cs="Arial" w:eastAsia="Arial" w:hAnsi="Arial"/>
          <w:b/>
          <w:bCs/>
          <w:color w:val="0B1F3A"/>
          <w:sz w:val="21"/>
          <w:szCs w:val="21"/>
        </w:rPr>
        <w:t xml:space="preserve">Transparent, user-directed fee model</w:t>
      </w:r>
    </w:p>
    <w:p>
      <w:pPr>
        <w:spacing w:after="160"/>
      </w:pPr>
      <w:r>
        <w:rPr>
          <w:rFonts w:ascii="Arial" w:cs="Arial" w:eastAsia="Arial" w:hAnsi="Arial"/>
          <w:color w:val="3A3F47"/>
          <w:sz w:val="21"/>
          <w:szCs w:val="21"/>
        </w:rPr>
        <w:t xml:space="preserve">Letting users choose their advocate and agree fees directly builds trust that opaque, undisclosed-fee competitors struggle to match.</w:t>
      </w:r>
    </w:p>
    <w:p>
      <w:pPr>
        <w:spacing w:after="30" w:before="80"/>
      </w:pPr>
      <w:r>
        <w:rPr>
          <w:rFonts w:ascii="Arial" w:cs="Arial" w:eastAsia="Arial" w:hAnsi="Arial"/>
          <w:b/>
          <w:bCs/>
          <w:color w:val="0B1F3A"/>
          <w:sz w:val="21"/>
          <w:szCs w:val="21"/>
        </w:rPr>
        <w:t xml:space="preserve">Network effects</w:t>
      </w:r>
    </w:p>
    <w:p>
      <w:pPr>
        <w:spacing w:after="160"/>
      </w:pPr>
      <w:r>
        <w:rPr>
          <w:rFonts w:ascii="Arial" w:cs="Arial" w:eastAsia="Arial" w:hAnsi="Arial"/>
          <w:color w:val="3A3F47"/>
          <w:sz w:val="21"/>
          <w:szCs w:val="21"/>
        </w:rPr>
        <w:t xml:space="preserve">As more advocates join, the platform becomes more useful to users, and as more users join, it becomes more attractive to advocates — a self-reinforcing dynamic once scale is reached.</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Live on Google Play, Financials Available Under NDA</w:t>
      </w:r>
    </w:p>
    <w:p>
      <w:pPr>
        <w:spacing w:after="160"/>
      </w:pPr>
      <w:r>
        <w:rPr>
          <w:rFonts w:ascii="Arial" w:cs="Arial" w:eastAsia="Arial" w:hAnsi="Arial"/>
          <w:color w:val="3A3F47"/>
          <w:sz w:val="21"/>
          <w:szCs w:val="21"/>
        </w:rPr>
        <w:t xml:space="preserve">The app is publicly live today — the clearest form of traction at this stage — with monetization and usage-scale metrics to be shared under NDA as the platform matures.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Platform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Live and publicly downloadable on Google Play Store (id.applegalku.android)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Core functionality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Advocate search &amp; selection, direct fee agreement, digital consultation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Usage &amp; download metrics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App Launch to Indonesia's Default Digital Legal-Access Channel</w:t>
      </w:r>
    </w:p>
    <w:p>
      <w:pPr>
        <w:spacing w:after="160"/>
      </w:pPr>
      <w:r>
        <w:rPr>
          <w:rFonts w:ascii="Arial" w:cs="Arial" w:eastAsia="Arial" w:hAnsi="Arial"/>
          <w:color w:val="3A3F47"/>
          <w:sz w:val="21"/>
          <w:szCs w:val="21"/>
        </w:rPr>
        <w:t xml:space="preserve">Growth proceeds from product refinement, to advocate-network expansion, to national adoption as the primary digital channel for legal access.</w:t>
      </w:r>
    </w:p>
    <w:p>
      <w:pPr>
        <w:spacing w:after="100"/>
      </w:pPr>
    </w:p>
    <w:p>
      <w:pPr>
        <w:spacing w:after="40" w:before="100"/>
      </w:pPr>
      <w:r>
        <w:rPr>
          <w:rFonts w:ascii="Arial" w:cs="Arial" w:eastAsia="Arial" w:hAnsi="Arial"/>
          <w:b/>
          <w:bCs/>
          <w:color w:val="0B1F3A"/>
          <w:sz w:val="22"/>
          <w:szCs w:val="22"/>
        </w:rPr>
        <w:t xml:space="preserve">1. Years 1–2: Strengthen the platform</w:t>
      </w:r>
    </w:p>
    <w:p>
      <w:pPr>
        <w:spacing w:after="160"/>
      </w:pPr>
      <w:r>
        <w:rPr>
          <w:rFonts w:ascii="Arial" w:cs="Arial" w:eastAsia="Arial" w:hAnsi="Arial"/>
          <w:color w:val="3A3F47"/>
          <w:sz w:val="21"/>
          <w:szCs w:val="21"/>
        </w:rPr>
        <w:t xml:space="preserve">Improve app features, advocate-search usability, and the online-consultation experience for users.</w:t>
      </w:r>
    </w:p>
    <w:p>
      <w:pPr>
        <w:spacing w:after="40" w:before="100"/>
      </w:pPr>
      <w:r>
        <w:rPr>
          <w:rFonts w:ascii="Arial" w:cs="Arial" w:eastAsia="Arial" w:hAnsi="Arial"/>
          <w:b/>
          <w:bCs/>
          <w:color w:val="0B1F3A"/>
          <w:sz w:val="22"/>
          <w:szCs w:val="22"/>
        </w:rPr>
        <w:t xml:space="preserve">2. Years 3–5: Expand the advocate network</w:t>
      </w:r>
    </w:p>
    <w:p>
      <w:pPr>
        <w:spacing w:after="160"/>
      </w:pPr>
      <w:r>
        <w:rPr>
          <w:rFonts w:ascii="Arial" w:cs="Arial" w:eastAsia="Arial" w:hAnsi="Arial"/>
          <w:color w:val="3A3F47"/>
          <w:sz w:val="21"/>
          <w:szCs w:val="21"/>
        </w:rPr>
        <w:t xml:space="preserve">Grow the number of partner advocates across Indonesian regions to directly address the national advocate-to-population ratio gap.</w:t>
      </w:r>
    </w:p>
    <w:p>
      <w:pPr>
        <w:spacing w:after="40" w:before="100"/>
      </w:pPr>
      <w:r>
        <w:rPr>
          <w:rFonts w:ascii="Arial" w:cs="Arial" w:eastAsia="Arial" w:hAnsi="Arial"/>
          <w:b/>
          <w:bCs/>
          <w:color w:val="0B1F3A"/>
          <w:sz w:val="22"/>
          <w:szCs w:val="22"/>
        </w:rPr>
        <w:t xml:space="preserve">3. Year 5+: Nationwide adoption</w:t>
      </w:r>
    </w:p>
    <w:p>
      <w:pPr>
        <w:spacing w:after="160"/>
      </w:pPr>
      <w:r>
        <w:rPr>
          <w:rFonts w:ascii="Arial" w:cs="Arial" w:eastAsia="Arial" w:hAnsi="Arial"/>
          <w:color w:val="3A3F47"/>
          <w:sz w:val="21"/>
          <w:szCs w:val="21"/>
        </w:rPr>
        <w:t xml:space="preserve">Increase national app adoption as a primary channel for affordable, transparent digital legal access.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As a mobile-software platform, Aplikasi Legalku is technically portable to other markets; the most direct expansion path would be other Southeast Asian countries with comparable advocate-access gaps and similar regulatory structures for legal-tech marketplaces — a directional option for future evaluation, not a committed international launch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platform operates under a registered legal entity as an extension of the group's Legal Services division, connecting users to advocates licensed to practice under Indonesian law.</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Advocate network:</w:t>
      </w:r>
      <w:r>
        <w:rPr>
          <w:rFonts w:ascii="Arial" w:cs="Arial" w:eastAsia="Arial" w:hAnsi="Arial"/>
          <w:color w:val="3A3F47"/>
          <w:sz w:val="21"/>
          <w:szCs w:val="21"/>
        </w:rPr>
        <w:t xml:space="preserve"> Advocates on the platform are licensed to practice under Indonesian law and subject to the Indonesian Advocates' professional code of ethics.</w:t>
      </w:r>
    </w:p>
    <w:p>
      <w:pPr>
        <w:pStyle w:val="ListParagraph"/>
        <w:numPr>
          <w:ilvl w:val="0"/>
          <w:numId w:val="1"/>
        </w:numPr>
        <w:spacing w:after="100"/>
      </w:pPr>
      <w:r>
        <w:rPr>
          <w:rFonts w:ascii="Arial" w:cs="Arial" w:eastAsia="Arial" w:hAnsi="Arial"/>
          <w:b/>
          <w:bCs/>
          <w:color w:val="3A3F47"/>
          <w:sz w:val="21"/>
          <w:szCs w:val="21"/>
        </w:rPr>
        <w:t xml:space="preserve">App distribution:</w:t>
      </w:r>
      <w:r>
        <w:rPr>
          <w:rFonts w:ascii="Arial" w:cs="Arial" w:eastAsia="Arial" w:hAnsi="Arial"/>
          <w:color w:val="3A3F47"/>
          <w:sz w:val="21"/>
          <w:szCs w:val="21"/>
        </w:rPr>
        <w:t xml:space="preserve"> Published and distributed through Google Play Store under the package id.applegalku.android.</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Scale Indonesia's Nationwide Legal-Access Platform</w:t>
      </w:r>
    </w:p>
    <w:p>
      <w:pPr>
        <w:spacing w:after="160"/>
      </w:pPr>
      <w:r>
        <w:rPr>
          <w:rFonts w:ascii="Arial" w:cs="Arial" w:eastAsia="Arial" w:hAnsi="Arial"/>
          <w:color w:val="3A3F47"/>
          <w:sz w:val="21"/>
          <w:szCs w:val="21"/>
        </w:rPr>
        <w:t xml:space="preserve">We welcome conversations with investors and strategic partners who see the scale opportunity in a live, nationwide legal-tech platform addressing a well-documented access gap.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p>
      <w:pPr>
        <w:sectPr>
          <w:headerReference w:type="default" r:id="rId17"/>
          <w:footerReference w:type="default" r:id="rId18"/>
          <w:pgSz w:w="11906" w:h="16838" w:orient="portrait"/>
          <w:pgMar w:top="1000" w:right="1100" w:bottom="1000" w:left="1100" w:header="708" w:footer="708" w:gutter="0"/>
          <w:pgNumType/>
          <w:docGrid w:linePitch="360"/>
        </w:sectPr>
      </w:pPr>
    </w:p>
    <w:p>
      <w:pPr>
        <w:spacing w:after="80"/>
      </w:pPr>
      <w:r>
        <w:rPr>
          <w:rFonts w:ascii="Arial" w:cs="Arial" w:eastAsia="Arial" w:hAnsi="Arial"/>
          <w:b/>
          <w:bCs/>
          <w:color w:val="C8A24A"/>
          <w:sz w:val="17"/>
          <w:szCs w:val="17"/>
        </w:rPr>
        <w:t xml:space="preserve">CHAPTER 6 OF 6</w:t>
      </w:r>
    </w:p>
    <w:p>
      <w:pPr>
        <w:pStyle w:val="Heading1"/>
        <w:spacing w:after="200" w:before="40"/>
      </w:pPr>
      <w:r>
        <w:rPr>
          <w:rFonts w:ascii="Arial" w:cs="Arial" w:eastAsia="Arial" w:hAnsi="Arial"/>
          <w:b/>
          <w:bCs/>
          <w:color w:val="0B1F3A"/>
          <w:sz w:val="32"/>
          <w:szCs w:val="32"/>
        </w:rPr>
        <w:t xml:space="preserve">Pendidikan Bahasa Korea &amp; Jepang (LPK Hanggugo Indonesia)</w:t>
      </w:r>
    </w:p>
    <w:p>
      <w:pPr>
        <w:spacing w:after="160"/>
      </w:pPr>
      <w:r>
        <w:rPr>
          <w:rFonts w:ascii="Arial" w:cs="Arial" w:eastAsia="Arial" w:hAnsi="Arial"/>
          <w:i/>
          <w:iCs/>
          <w:color w:val="3A3F47"/>
          <w:sz w:val="21"/>
          <w:szCs w:val="21"/>
        </w:rPr>
        <w:t xml:space="preserve">Language training and government-authorized placement pathways into South Korea's G to G worker program and Japan's internship (Magang) program.</w:t>
      </w:r>
    </w:p>
    <w:p>
      <w:pPr>
        <w:spacing w:after="160"/>
      </w:pPr>
    </w:p>
    <w:p>
      <w:pPr>
        <w:spacing w:after="80"/>
      </w:pPr>
      <w:r>
        <w:rPr>
          <w:rFonts w:ascii="Arial" w:cs="Arial" w:eastAsia="Arial" w:hAnsi="Arial"/>
          <w:b/>
          <w:bCs/>
          <w:color w:val="C8A24A"/>
          <w:sz w:val="17"/>
          <w:szCs w:val="17"/>
        </w:rPr>
        <w:t xml:space="preserve">01 — EXECUTIVE SUMMARY</w:t>
      </w:r>
    </w:p>
    <w:p>
      <w:pPr>
        <w:pStyle w:val="Heading1"/>
        <w:spacing w:after="200" w:before="40"/>
      </w:pPr>
      <w:r>
        <w:rPr>
          <w:rFonts w:ascii="Arial" w:cs="Arial" w:eastAsia="Arial" w:hAnsi="Arial"/>
          <w:b/>
          <w:bCs/>
          <w:color w:val="0B1F3A"/>
          <w:sz w:val="32"/>
          <w:szCs w:val="32"/>
        </w:rPr>
        <w:t xml:space="preserve">A Legal, Government-Track On-Ramp Into Two of Asia's Largest Structural Labor Shortages</w:t>
      </w:r>
    </w:p>
    <w:p>
      <w:pPr>
        <w:spacing w:after="160"/>
      </w:pPr>
      <w:r>
        <w:rPr>
          <w:rFonts w:ascii="Arial" w:cs="Arial" w:eastAsia="Arial" w:hAnsi="Arial"/>
          <w:color w:val="3A3F47"/>
          <w:sz w:val="21"/>
          <w:szCs w:val="21"/>
        </w:rPr>
        <w:t xml:space="preserve">Operating under the brand LPK Hanggugo Indonesia (lpkhanggugo.com), this division delivers Korean- and Japanese-language training and prepares candidates for two officially sanctioned overseas placement pathways: South Korea's G to G (Government to Government) worker program, run jointly by Indonesia's BP2MI and South Korea's HRD Korea/MOEL, and Japan's technical internship (Magang) program — both fully legal, quota-based, and free of the unlicensed brokers common in this sector.</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2,000</w:t>
            </w:r>
          </w:p>
          <w:p>
            <w:r>
              <w:rPr>
                <w:rFonts w:ascii="Arial" w:cs="Arial" w:eastAsia="Arial" w:hAnsi="Arial"/>
                <w:color w:val="3A3F47"/>
                <w:sz w:val="16"/>
                <w:szCs w:val="16"/>
              </w:rPr>
              <w:t xml:space="preserve">Indonesia's South Korea G to G worker quota for 2026 (1,000 manufacturing + 1,000 fisheries)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≈639,000 / yr</w:t>
            </w:r>
          </w:p>
          <w:p>
            <w:r>
              <w:rPr>
                <w:rFonts w:ascii="Arial" w:cs="Arial" w:eastAsia="Arial" w:hAnsi="Arial"/>
                <w:color w:val="3A3F47"/>
                <w:sz w:val="16"/>
                <w:szCs w:val="16"/>
              </w:rPr>
              <w:t xml:space="preserve">Japan's estimated annual foreign-worker need across sectors</w:t>
            </w:r>
          </w:p>
        </w:tc>
        <w:tc>
          <w:tcPr>
            <w:tcW w:type="dxa" w:w="311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≈63,000 / yr</w:t>
            </w:r>
          </w:p>
          <w:p>
            <w:r>
              <w:rPr>
                <w:rFonts w:ascii="Arial" w:cs="Arial" w:eastAsia="Arial" w:hAnsi="Arial"/>
                <w:color w:val="3A3F47"/>
                <w:sz w:val="16"/>
                <w:szCs w:val="16"/>
              </w:rPr>
              <w:t xml:space="preserve">Illustrative Indonesia share at a 10% fill rate of Japan's annual need</w:t>
            </w:r>
          </w:p>
        </w:tc>
      </w:tr>
    </w:tbl>
    <w:p>
      <w:pPr>
        <w:spacing w:after="100"/>
      </w:pPr>
    </w:p>
    <w:p>
      <w:pPr>
        <w:pStyle w:val="Heading2"/>
        <w:spacing w:after="120" w:before="200"/>
      </w:pPr>
      <w:r>
        <w:rPr>
          <w:rFonts w:ascii="Arial" w:cs="Arial" w:eastAsia="Arial" w:hAnsi="Arial"/>
          <w:b/>
          <w:bCs/>
          <w:color w:val="0B1F3A"/>
          <w:sz w:val="24"/>
          <w:szCs w:val="24"/>
        </w:rPr>
        <w:t xml:space="preserve">What We Do</w:t>
      </w:r>
    </w:p>
    <w:p>
      <w:pPr>
        <w:spacing w:after="160"/>
      </w:pPr>
      <w:r>
        <w:rPr>
          <w:rFonts w:ascii="Arial" w:cs="Arial" w:eastAsia="Arial" w:hAnsi="Arial"/>
          <w:b/>
          <w:bCs/>
          <w:color w:val="3A3F47"/>
          <w:sz w:val="21"/>
          <w:szCs w:val="21"/>
        </w:rPr>
        <w:t xml:space="preserve">Language training plus a compliant placement pathway.</w:t>
      </w:r>
      <w:r>
        <w:rPr>
          <w:rFonts w:ascii="Arial" w:cs="Arial" w:eastAsia="Arial" w:hAnsi="Arial"/>
          <w:color w:val="3A3F47"/>
          <w:sz w:val="21"/>
          <w:szCs w:val="21"/>
        </w:rPr>
        <w:t xml:space="preserve"> Korean- and Japanese-language courses, EPS-TOPIK exam preparation, and full administrative support through Indonesia's official G to G (Korea) and Magang (Japan) government placement schemes.</w:t>
      </w:r>
    </w:p>
    <w:p>
      <w:pPr>
        <w:pStyle w:val="Heading2"/>
        <w:spacing w:after="120" w:before="200"/>
      </w:pPr>
      <w:r>
        <w:rPr>
          <w:rFonts w:ascii="Arial" w:cs="Arial" w:eastAsia="Arial" w:hAnsi="Arial"/>
          <w:b/>
          <w:bCs/>
          <w:color w:val="0B1F3A"/>
          <w:sz w:val="24"/>
          <w:szCs w:val="24"/>
        </w:rPr>
        <w:t xml:space="preserve">Why Now</w:t>
      </w:r>
    </w:p>
    <w:p>
      <w:pPr>
        <w:spacing w:after="160"/>
      </w:pPr>
      <w:r>
        <w:rPr>
          <w:rFonts w:ascii="Arial" w:cs="Arial" w:eastAsia="Arial" w:hAnsi="Arial"/>
          <w:b/>
          <w:bCs/>
          <w:color w:val="3A3F47"/>
          <w:sz w:val="21"/>
          <w:szCs w:val="21"/>
        </w:rPr>
        <w:t xml:space="preserve">Quota-based government demand, not open-ended promises.</w:t>
      </w:r>
      <w:r>
        <w:rPr>
          <w:rFonts w:ascii="Arial" w:cs="Arial" w:eastAsia="Arial" w:hAnsi="Arial"/>
          <w:color w:val="3A3F47"/>
          <w:sz w:val="21"/>
          <w:szCs w:val="21"/>
        </w:rPr>
        <w:t xml:space="preserve"> Both destination countries publish fixed, government-negotiated annual worker quotas — a rare case of overseas-work demand that is officially quantified rather than informally estimated.</w:t>
      </w:r>
    </w:p>
    <w:p>
      <w:r>
        <w:br w:type="page"/>
      </w:r>
    </w:p>
    <w:p>
      <w:pPr>
        <w:spacing w:after="80"/>
      </w:pPr>
      <w:r>
        <w:rPr>
          <w:rFonts w:ascii="Arial" w:cs="Arial" w:eastAsia="Arial" w:hAnsi="Arial"/>
          <w:b/>
          <w:bCs/>
          <w:color w:val="C8A24A"/>
          <w:sz w:val="17"/>
          <w:szCs w:val="17"/>
        </w:rPr>
        <w:t xml:space="preserve">02 — PROBLEM &amp; SOLUTION</w:t>
      </w:r>
    </w:p>
    <w:p>
      <w:pPr>
        <w:pStyle w:val="Heading1"/>
        <w:spacing w:after="200" w:before="40"/>
      </w:pPr>
      <w:r>
        <w:rPr>
          <w:rFonts w:ascii="Arial" w:cs="Arial" w:eastAsia="Arial" w:hAnsi="Arial"/>
          <w:b/>
          <w:bCs/>
          <w:color w:val="0B1F3A"/>
          <w:sz w:val="32"/>
          <w:szCs w:val="32"/>
        </w:rPr>
        <w:t xml:space="preserve">Real, Government-Quota Demand for Overseas Workers — Undercut by Illegal Brokers and Language Barriers</w:t>
      </w:r>
    </w:p>
    <w:p>
      <w:pPr>
        <w:pStyle w:val="Heading2"/>
        <w:spacing w:after="120" w:before="200"/>
      </w:pPr>
      <w:r>
        <w:rPr>
          <w:rFonts w:ascii="Arial" w:cs="Arial" w:eastAsia="Arial" w:hAnsi="Arial"/>
          <w:b/>
          <w:bCs/>
          <w:color w:val="0B1F3A"/>
          <w:sz w:val="24"/>
          <w:szCs w:val="24"/>
        </w:rPr>
        <w:t xml:space="preserve">The Problem</w:t>
      </w:r>
    </w:p>
    <w:p>
      <w:pPr>
        <w:spacing w:after="160"/>
      </w:pPr>
      <w:r>
        <w:rPr>
          <w:rFonts w:ascii="Arial" w:cs="Arial" w:eastAsia="Arial" w:hAnsi="Arial"/>
          <w:b/>
          <w:bCs/>
          <w:color w:val="3A3F47"/>
          <w:sz w:val="21"/>
          <w:szCs w:val="21"/>
        </w:rPr>
        <w:t xml:space="preserve">Legal placement quotas go unfilled without language-ready, properly prepared candidates.</w:t>
      </w:r>
      <w:r>
        <w:rPr>
          <w:rFonts w:ascii="Arial" w:cs="Arial" w:eastAsia="Arial" w:hAnsi="Arial"/>
          <w:color w:val="3A3F47"/>
          <w:sz w:val="21"/>
          <w:szCs w:val="21"/>
        </w:rPr>
        <w:t xml:space="preserve"> South Korea's G to G program and Japan's Magang program each require candidates to pass language and skills examinations (notably EPS-TOPIK for Korea) before they can be placed — and Indonesia's overseas-labor sector is also long troubled by unlicensed brokers ('calo') charging undisclosed fees for unauthorized, unsafe placements.</w:t>
      </w:r>
    </w:p>
    <w:p>
      <w:pPr>
        <w:pStyle w:val="Heading2"/>
        <w:spacing w:after="120" w:before="200"/>
      </w:pPr>
      <w:r>
        <w:rPr>
          <w:rFonts w:ascii="Arial" w:cs="Arial" w:eastAsia="Arial" w:hAnsi="Arial"/>
          <w:b/>
          <w:bCs/>
          <w:color w:val="0B1F3A"/>
          <w:sz w:val="24"/>
          <w:szCs w:val="24"/>
        </w:rPr>
        <w:t xml:space="preserve">Our Solution</w:t>
      </w:r>
    </w:p>
    <w:p>
      <w:pPr>
        <w:spacing w:after="160"/>
      </w:pPr>
      <w:r>
        <w:rPr>
          <w:rFonts w:ascii="Arial" w:cs="Arial" w:eastAsia="Arial" w:hAnsi="Arial"/>
          <w:b/>
          <w:bCs/>
          <w:color w:val="3A3F47"/>
          <w:sz w:val="21"/>
          <w:szCs w:val="21"/>
        </w:rPr>
        <w:t xml:space="preserve">Government-track training and placement support, with transparent costs.</w:t>
      </w:r>
      <w:r>
        <w:rPr>
          <w:rFonts w:ascii="Arial" w:cs="Arial" w:eastAsia="Arial" w:hAnsi="Arial"/>
          <w:color w:val="3A3F47"/>
          <w:sz w:val="21"/>
          <w:szCs w:val="21"/>
        </w:rPr>
        <w:t xml:space="preserve"> LPK Hanggugo Indonesia prepares candidates specifically for the official BP2MI/HRD Korea G to G exam and placement process and Japan's Magang interview and training process, with published, staged fee estimates and no wage-deduction or upfront-loan financing schemes.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Evidence, not assumption. </w:t>
            </w:r>
            <w:r>
              <w:rPr>
                <w:rFonts w:ascii="Arial" w:cs="Arial" w:eastAsia="Arial" w:hAnsi="Arial"/>
                <w:color w:val="3A3F47"/>
                <w:sz w:val="19"/>
                <w:szCs w:val="19"/>
              </w:rPr>
              <w:t xml:space="preserve">Indonesia's national G to G worker quota to South Korea for 2026 is set at 2,000 placements (1,000 in manufacturing, 1,000 in fisheries), per Indonesia's Ministry of Migrant Worker Protection (Kementerian P2MI/KP2MI), reported by Kompas TV (2026). Separately, Indonesia's Minister of Migrant Worker Protection has cited Japan's estimated need for roughly 639,000 foreign workers per year across sectors, with an illustrative Indonesian capture potential of around 63,000 workers per year at a 10% fill rate (Antara News, 2026, citing Minister Abdul Kadir Karding).</w:t>
            </w:r>
          </w:p>
        </w:tc>
      </w:tr>
    </w:tbl>
    <w:p>
      <w:r>
        <w:br w:type="page"/>
      </w:r>
    </w:p>
    <w:p>
      <w:pPr>
        <w:spacing w:after="80"/>
      </w:pPr>
      <w:r>
        <w:rPr>
          <w:rFonts w:ascii="Arial" w:cs="Arial" w:eastAsia="Arial" w:hAnsi="Arial"/>
          <w:b/>
          <w:bCs/>
          <w:color w:val="C8A24A"/>
          <w:sz w:val="17"/>
          <w:szCs w:val="17"/>
        </w:rPr>
        <w:t xml:space="preserve">03 — MARKET SIZE (TAM / SAM / SOM)</w:t>
      </w:r>
    </w:p>
    <w:p>
      <w:pPr>
        <w:pStyle w:val="Heading1"/>
        <w:spacing w:after="200" w:before="40"/>
      </w:pPr>
      <w:r>
        <w:rPr>
          <w:rFonts w:ascii="Arial" w:cs="Arial" w:eastAsia="Arial" w:hAnsi="Arial"/>
          <w:b/>
          <w:bCs/>
          <w:color w:val="0B1F3A"/>
          <w:sz w:val="32"/>
          <w:szCs w:val="32"/>
        </w:rPr>
        <w:t xml:space="preserve">A Government-Quantified Placement Market, With Room to Grow Regional Training Capacity</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Tier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Estimate &amp; Basis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≈639,000 workers / year</w:t>
            </w:r>
            <w:r>
              <w:rPr>
                <w:rFonts w:ascii="Arial" w:cs="Arial" w:eastAsia="Arial" w:hAnsi="Arial"/>
                <w:b w:val="false"/>
                <w:bCs w:val="false"/>
                <w:color w:val="3A3F47"/>
                <w:sz w:val="19"/>
                <w:szCs w:val="19"/>
              </w:rPr>
              <w:t xml:space="preserve"> — Japan's estimated annual cross-sector foreign-worker need, as cited by Indonesia's Minister of Migrant Worker Protection (Antara News, 2026) — plus South Korea's separate, smaller annual G to G quota.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SAM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≈63,000 workers / year (Japan) + 2,000 workers / year (Korea G to G)</w:t>
            </w:r>
            <w:r>
              <w:rPr>
                <w:rFonts w:ascii="Arial" w:cs="Arial" w:eastAsia="Arial" w:hAnsi="Arial"/>
                <w:b w:val="false"/>
                <w:bCs w:val="false"/>
                <w:color w:val="3A3F47"/>
                <w:sz w:val="19"/>
                <w:szCs w:val="19"/>
              </w:rPr>
              <w:t xml:space="preserve"> — Indonesia's illustrative national capture potential for Japan at a 10% fill rate, plus Indonesia's full national 2026 Korea G to G quota (1,000 manufacturing + 1,000 fisheries) — the portion of total demand realistically allocated to Indonesian candidates nationally.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SOM</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bCs/>
                <w:color w:val="3A3F47"/>
                <w:sz w:val="19"/>
                <w:szCs w:val="19"/>
              </w:rPr>
              <w:t xml:space="preserve">Tens to low hundreds of candidates / year (target)</w:t>
            </w:r>
            <w:r>
              <w:rPr>
                <w:rFonts w:ascii="Arial" w:cs="Arial" w:eastAsia="Arial" w:hAnsi="Arial"/>
                <w:b w:val="false"/>
                <w:bCs w:val="false"/>
                <w:color w:val="3A3F47"/>
                <w:sz w:val="19"/>
                <w:szCs w:val="19"/>
              </w:rPr>
              <w:t xml:space="preserve"> — Internal planning target for candidates trained and successfully placed through this division's own classes and administrative support, as a small fraction of Indonesia's national SAM allocation. A planning assumption, not a forecast.</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Methodology &amp; sourcing. </w:t>
            </w:r>
            <w:r>
              <w:rPr>
                <w:rFonts w:ascii="Arial" w:cs="Arial" w:eastAsia="Arial" w:hAnsi="Arial"/>
                <w:color w:val="3A3F47"/>
                <w:sz w:val="19"/>
                <w:szCs w:val="19"/>
              </w:rPr>
              <w:t xml:space="preserve">TAM/SAM figures are drawn directly from government-sourced statistics: Indonesia's 2026 Korea G to G quota (Kementerian P2MI/KP2MI, via Kompas TV, 2026) and Japan's cross-sector foreign-worker need and illustrative 10%-fill-rate estimate for Indonesia (Minister Abdul Kadir Karding, via Antara News, 2026). SOM is management's own illustrative planning target, not an audited projection, and is not sized against a figure this division controls or guarantees.</w:t>
            </w:r>
          </w:p>
        </w:tc>
      </w:tr>
    </w:tbl>
    <w:p>
      <w:r>
        <w:br w:type="page"/>
      </w:r>
    </w:p>
    <w:p>
      <w:pPr>
        <w:spacing w:after="80"/>
      </w:pPr>
      <w:r>
        <w:rPr>
          <w:rFonts w:ascii="Arial" w:cs="Arial" w:eastAsia="Arial" w:hAnsi="Arial"/>
          <w:b/>
          <w:bCs/>
          <w:color w:val="C8A24A"/>
          <w:sz w:val="17"/>
          <w:szCs w:val="17"/>
        </w:rPr>
        <w:t xml:space="preserve">04 — BUSINESS MODEL</w:t>
      </w:r>
    </w:p>
    <w:p>
      <w:pPr>
        <w:pStyle w:val="Heading1"/>
        <w:spacing w:after="200" w:before="40"/>
      </w:pPr>
      <w:r>
        <w:rPr>
          <w:rFonts w:ascii="Arial" w:cs="Arial" w:eastAsia="Arial" w:hAnsi="Arial"/>
          <w:b/>
          <w:bCs/>
          <w:color w:val="0B1F3A"/>
          <w:sz w:val="32"/>
          <w:szCs w:val="32"/>
        </w:rPr>
        <w:t xml:space="preserve">Fee-for-Training-and-Placement-Support, Staged Across the Candidate Journey</w:t>
      </w:r>
    </w:p>
    <w:p>
      <w:pPr>
        <w:spacing w:after="160"/>
      </w:pPr>
      <w:r>
        <w:rPr>
          <w:rFonts w:ascii="Arial" w:cs="Arial" w:eastAsia="Arial" w:hAnsi="Arial"/>
          <w:color w:val="3A3F47"/>
          <w:sz w:val="21"/>
          <w:szCs w:val="21"/>
        </w:rPr>
        <w:t xml:space="preserve">Revenue is generated from language-course tuition and staged administrative/placement-support fees, paid progressively as a candidate advances through the official government placement process — never as a single upfront sum or wage deduction.</w:t>
      </w:r>
    </w:p>
    <w:p>
      <w:pPr>
        <w:spacing w:after="100"/>
      </w:pPr>
    </w:p>
    <w:p>
      <w:pPr>
        <w:spacing w:after="40" w:before="100"/>
      </w:pPr>
      <w:r>
        <w:rPr>
          <w:rFonts w:ascii="Arial" w:cs="Arial" w:eastAsia="Arial" w:hAnsi="Arial"/>
          <w:b/>
          <w:bCs/>
          <w:color w:val="0B1F3A"/>
          <w:sz w:val="22"/>
          <w:szCs w:val="22"/>
        </w:rPr>
        <w:t xml:space="preserve">1. Enrollment &amp; language training</w:t>
      </w:r>
    </w:p>
    <w:p>
      <w:pPr>
        <w:spacing w:after="160"/>
      </w:pPr>
      <w:r>
        <w:rPr>
          <w:rFonts w:ascii="Arial" w:cs="Arial" w:eastAsia="Arial" w:hAnsi="Arial"/>
          <w:color w:val="3A3F47"/>
          <w:sz w:val="21"/>
          <w:szCs w:val="21"/>
        </w:rPr>
        <w:t xml:space="preserve">Candidates enroll in an approximately 3-month intensive Korean- or Japanese-language course, including EPS-TOPIK exam preparation for the Korea track.</w:t>
      </w:r>
    </w:p>
    <w:p>
      <w:pPr>
        <w:spacing w:after="40" w:before="100"/>
      </w:pPr>
      <w:r>
        <w:rPr>
          <w:rFonts w:ascii="Arial" w:cs="Arial" w:eastAsia="Arial" w:hAnsi="Arial"/>
          <w:b/>
          <w:bCs/>
          <w:color w:val="0B1F3A"/>
          <w:sz w:val="22"/>
          <w:szCs w:val="22"/>
        </w:rPr>
        <w:t xml:space="preserve">2. Exam &amp; skills-test support</w:t>
      </w:r>
    </w:p>
    <w:p>
      <w:pPr>
        <w:spacing w:after="160"/>
      </w:pPr>
      <w:r>
        <w:rPr>
          <w:rFonts w:ascii="Arial" w:cs="Arial" w:eastAsia="Arial" w:hAnsi="Arial"/>
          <w:color w:val="3A3F47"/>
          <w:sz w:val="21"/>
          <w:szCs w:val="21"/>
        </w:rPr>
        <w:t xml:space="preserve">Candidates are supported through the official EPS-TOPIK exam (Korea) or company-interview and skills assessment (Japan).</w:t>
      </w:r>
    </w:p>
    <w:p>
      <w:pPr>
        <w:spacing w:after="40" w:before="100"/>
      </w:pPr>
      <w:r>
        <w:rPr>
          <w:rFonts w:ascii="Arial" w:cs="Arial" w:eastAsia="Arial" w:hAnsi="Arial"/>
          <w:b/>
          <w:bCs/>
          <w:color w:val="0B1F3A"/>
          <w:sz w:val="22"/>
          <w:szCs w:val="22"/>
        </w:rPr>
        <w:t xml:space="preserve">3. Administrative processing</w:t>
      </w:r>
    </w:p>
    <w:p>
      <w:pPr>
        <w:spacing w:after="160"/>
      </w:pPr>
      <w:r>
        <w:rPr>
          <w:rFonts w:ascii="Arial" w:cs="Arial" w:eastAsia="Arial" w:hAnsi="Arial"/>
          <w:color w:val="3A3F47"/>
          <w:sz w:val="21"/>
          <w:szCs w:val="21"/>
        </w:rPr>
        <w:t xml:space="preserve">Passport, medical check-up (MCU), and BP2MI/HRD Korea or Japan-side administrative documentation are managed on the candidate's behalf, at staged, disclosed fee estimates.</w:t>
      </w:r>
    </w:p>
    <w:p>
      <w:pPr>
        <w:spacing w:after="40" w:before="100"/>
      </w:pPr>
      <w:r>
        <w:rPr>
          <w:rFonts w:ascii="Arial" w:cs="Arial" w:eastAsia="Arial" w:hAnsi="Arial"/>
          <w:b/>
          <w:bCs/>
          <w:color w:val="0B1F3A"/>
          <w:sz w:val="22"/>
          <w:szCs w:val="22"/>
        </w:rPr>
        <w:t xml:space="preserve">4. Placement &amp; departure</w:t>
      </w:r>
    </w:p>
    <w:p>
      <w:pPr>
        <w:spacing w:after="160"/>
      </w:pPr>
      <w:r>
        <w:rPr>
          <w:rFonts w:ascii="Arial" w:cs="Arial" w:eastAsia="Arial" w:hAnsi="Arial"/>
          <w:color w:val="3A3F47"/>
          <w:sz w:val="21"/>
          <w:szCs w:val="21"/>
        </w:rPr>
        <w:t xml:space="preserve">Successful candidates are placed through the official G to G (Korea) or Magang (Japan) government channel, with ticketing, visa, and insurance arranged via BP2MI.</w:t>
      </w:r>
    </w:p>
    <w:p>
      <w:pPr>
        <w:spacing w:after="40" w:before="100"/>
      </w:pPr>
      <w:r>
        <w:rPr>
          <w:rFonts w:ascii="Arial" w:cs="Arial" w:eastAsia="Arial" w:hAnsi="Arial"/>
          <w:b/>
          <w:bCs/>
          <w:color w:val="0B1F3A"/>
          <w:sz w:val="22"/>
          <w:szCs w:val="22"/>
        </w:rPr>
        <w:t xml:space="preserve">5. Alumni referral network</w:t>
      </w:r>
    </w:p>
    <w:p>
      <w:pPr>
        <w:spacing w:after="160"/>
      </w:pPr>
      <w:r>
        <w:rPr>
          <w:rFonts w:ascii="Arial" w:cs="Arial" w:eastAsia="Arial" w:hAnsi="Arial"/>
          <w:color w:val="3A3F47"/>
          <w:sz w:val="21"/>
          <w:szCs w:val="21"/>
        </w:rPr>
        <w:t xml:space="preserve">Placed candidates and their families are a natural source of referral-driven enrollment for future training cohorts.</w:t>
      </w:r>
    </w:p>
    <w:p>
      <w:r>
        <w:br w:type="page"/>
      </w:r>
    </w:p>
    <w:p>
      <w:pPr>
        <w:spacing w:after="80"/>
      </w:pPr>
      <w:r>
        <w:rPr>
          <w:rFonts w:ascii="Arial" w:cs="Arial" w:eastAsia="Arial" w:hAnsi="Arial"/>
          <w:b/>
          <w:bCs/>
          <w:color w:val="C8A24A"/>
          <w:sz w:val="17"/>
          <w:szCs w:val="17"/>
        </w:rPr>
        <w:t xml:space="preserve">05 — COMPETITIVE ADVANTAGE (MOAT)</w:t>
      </w:r>
    </w:p>
    <w:p>
      <w:pPr>
        <w:pStyle w:val="Heading1"/>
        <w:spacing w:after="200" w:before="40"/>
      </w:pPr>
      <w:r>
        <w:rPr>
          <w:rFonts w:ascii="Arial" w:cs="Arial" w:eastAsia="Arial" w:hAnsi="Arial"/>
          <w:b/>
          <w:bCs/>
          <w:color w:val="0B1F3A"/>
          <w:sz w:val="32"/>
          <w:szCs w:val="32"/>
        </w:rPr>
        <w:t xml:space="preserve">Why This Is Hard to Copy</w:t>
      </w:r>
    </w:p>
    <w:p>
      <w:pPr>
        <w:spacing w:after="160"/>
      </w:pPr>
      <w:r>
        <w:rPr>
          <w:rFonts w:ascii="Arial" w:cs="Arial" w:eastAsia="Arial" w:hAnsi="Arial"/>
          <w:color w:val="3A3F47"/>
          <w:sz w:val="21"/>
          <w:szCs w:val="21"/>
        </w:rPr>
        <w:t xml:space="preserve">Defensibility comes from operating strictly inside the two countries' official government channels, plus integration with the group's existing legal and licensing infrastructure.</w:t>
      </w:r>
    </w:p>
    <w:p>
      <w:pPr>
        <w:spacing w:after="100"/>
      </w:pPr>
    </w:p>
    <w:p>
      <w:pPr>
        <w:spacing w:after="30" w:before="80"/>
      </w:pPr>
      <w:r>
        <w:rPr>
          <w:rFonts w:ascii="Arial" w:cs="Arial" w:eastAsia="Arial" w:hAnsi="Arial"/>
          <w:b/>
          <w:bCs/>
          <w:color w:val="0B1F3A"/>
          <w:sz w:val="21"/>
          <w:szCs w:val="21"/>
        </w:rPr>
        <w:t xml:space="preserve">Government-channel-only positioning</w:t>
      </w:r>
    </w:p>
    <w:p>
      <w:pPr>
        <w:spacing w:after="160"/>
      </w:pPr>
      <w:r>
        <w:rPr>
          <w:rFonts w:ascii="Arial" w:cs="Arial" w:eastAsia="Arial" w:hAnsi="Arial"/>
          <w:color w:val="3A3F47"/>
          <w:sz w:val="21"/>
          <w:szCs w:val="21"/>
        </w:rPr>
        <w:t xml:space="preserve">Operating exclusively through BP2MI/HRD Korea's G to G scheme and Japan's official Magang program — rather than informal broker networks — is a credibility differentiator in a sector where illegal placement is a well-documented risk.</w:t>
      </w:r>
    </w:p>
    <w:p>
      <w:pPr>
        <w:spacing w:after="30" w:before="80"/>
      </w:pPr>
      <w:r>
        <w:rPr>
          <w:rFonts w:ascii="Arial" w:cs="Arial" w:eastAsia="Arial" w:hAnsi="Arial"/>
          <w:b/>
          <w:bCs/>
          <w:color w:val="0B1F3A"/>
          <w:sz w:val="21"/>
          <w:szCs w:val="21"/>
        </w:rPr>
        <w:t xml:space="preserve">Backed by an integrated legal group</w:t>
      </w:r>
    </w:p>
    <w:p>
      <w:pPr>
        <w:spacing w:after="160"/>
      </w:pPr>
      <w:r>
        <w:rPr>
          <w:rFonts w:ascii="Arial" w:cs="Arial" w:eastAsia="Arial" w:hAnsi="Arial"/>
          <w:color w:val="3A3F47"/>
          <w:sz w:val="21"/>
          <w:szCs w:val="21"/>
        </w:rPr>
        <w:t xml:space="preserve">Part of a six-division ecosystem with in-house legal and licensing expertise, able to support candidates and their families through the legal and contractual dimensions of overseas placement.</w:t>
      </w:r>
    </w:p>
    <w:p>
      <w:pPr>
        <w:spacing w:after="30" w:before="80"/>
      </w:pPr>
      <w:r>
        <w:rPr>
          <w:rFonts w:ascii="Arial" w:cs="Arial" w:eastAsia="Arial" w:hAnsi="Arial"/>
          <w:b/>
          <w:bCs/>
          <w:color w:val="0B1F3A"/>
          <w:sz w:val="21"/>
          <w:szCs w:val="21"/>
        </w:rPr>
        <w:t xml:space="preserve">Dual-country, dual-language offering</w:t>
      </w:r>
    </w:p>
    <w:p>
      <w:pPr>
        <w:spacing w:after="160"/>
      </w:pPr>
      <w:r>
        <w:rPr>
          <w:rFonts w:ascii="Arial" w:cs="Arial" w:eastAsia="Arial" w:hAnsi="Arial"/>
          <w:color w:val="3A3F47"/>
          <w:sz w:val="21"/>
          <w:szCs w:val="21"/>
        </w:rPr>
        <w:t xml:space="preserve">Running both Korean and Japanese tracks under one institution diversifies placement-quota risk across two separate government programs and national labor markets.</w:t>
      </w:r>
    </w:p>
    <w:p>
      <w:pPr>
        <w:spacing w:after="30" w:before="80"/>
      </w:pPr>
      <w:r>
        <w:rPr>
          <w:rFonts w:ascii="Arial" w:cs="Arial" w:eastAsia="Arial" w:hAnsi="Arial"/>
          <w:b/>
          <w:bCs/>
          <w:color w:val="0B1F3A"/>
          <w:sz w:val="21"/>
          <w:szCs w:val="21"/>
        </w:rPr>
        <w:t xml:space="preserve">Transparent, staged, disclosed pricing</w:t>
      </w:r>
    </w:p>
    <w:p>
      <w:pPr>
        <w:spacing w:after="160"/>
      </w:pPr>
      <w:r>
        <w:rPr>
          <w:rFonts w:ascii="Arial" w:cs="Arial" w:eastAsia="Arial" w:hAnsi="Arial"/>
          <w:color w:val="3A3F47"/>
          <w:sz w:val="21"/>
          <w:szCs w:val="21"/>
        </w:rPr>
        <w:t xml:space="preserve">Publishing fee estimates by stage — with no wage deduction and no upfront-loan financing — builds trust in a segment frequently associated with opaque or exploitative broker fees.</w:t>
      </w:r>
    </w:p>
    <w:p>
      <w:r>
        <w:br w:type="page"/>
      </w:r>
    </w:p>
    <w:p>
      <w:pPr>
        <w:spacing w:after="80"/>
      </w:pPr>
      <w:r>
        <w:rPr>
          <w:rFonts w:ascii="Arial" w:cs="Arial" w:eastAsia="Arial" w:hAnsi="Arial"/>
          <w:b/>
          <w:bCs/>
          <w:color w:val="C8A24A"/>
          <w:sz w:val="17"/>
          <w:szCs w:val="17"/>
        </w:rPr>
        <w:t xml:space="preserve">06 — TRACTION &amp; FINANCIALS</w:t>
      </w:r>
    </w:p>
    <w:p>
      <w:pPr>
        <w:pStyle w:val="Heading1"/>
        <w:spacing w:after="200" w:before="40"/>
      </w:pPr>
      <w:r>
        <w:rPr>
          <w:rFonts w:ascii="Arial" w:cs="Arial" w:eastAsia="Arial" w:hAnsi="Arial"/>
          <w:b/>
          <w:bCs/>
          <w:color w:val="0B1F3A"/>
          <w:sz w:val="32"/>
          <w:szCs w:val="32"/>
        </w:rPr>
        <w:t xml:space="preserve">Operationally Active as LPK Hanggugo Indonesia, Financials Available Under NDA</w:t>
      </w:r>
    </w:p>
    <w:p>
      <w:pPr>
        <w:spacing w:after="160"/>
      </w:pPr>
      <w:r>
        <w:rPr>
          <w:rFonts w:ascii="Arial" w:cs="Arial" w:eastAsia="Arial" w:hAnsi="Arial"/>
          <w:color w:val="3A3F47"/>
          <w:sz w:val="21"/>
          <w:szCs w:val="21"/>
        </w:rPr>
        <w:t xml:space="preserve">The division operates today as LPK Hanggugo Indonesia (lpkhanggugo.com), running active language classes and candidate preparation for both the Korea G to G and Japan Magang pathways.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Indicator</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Current Status</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Legal entity status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Active PT, fully registered since 2025 (AHU ratification on file)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Group structure</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6 integrated, currently operating divisions under one holding entity</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Financial history &amp; projections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Operating brand</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LPK Hanggugo Indonesia — active language-training institution (lpkhanggugo.com), based in Batang, Central Java</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Programs live today</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Korean-language course, Korea G to G placement preparation, Japanese-language course, Japan Magang placement preparation</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Enrollment &amp; placement volumes</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Not disclosed in this document — available to qualified investors under NDA</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Disclosure. </w:t>
            </w:r>
            <w:r>
              <w:rPr>
                <w:rFonts w:ascii="Arial" w:cs="Arial" w:eastAsia="Arial" w:hAnsi="Arial"/>
                <w:color w:val="3A3F47"/>
                <w:sz w:val="19"/>
                <w:szCs w:val="19"/>
              </w:rPr>
              <w:t xml:space="preserve">PT Legalku Multi Digital is a founder-operated group in an active growth phase. Historical revenue, user-growth, and forward-looking financial projections are intentionally not included in this public-facing deck; verified figures are shared with qualified investors under a non-disclosure agreement during due diligence. We would rather disclose less than present figures we cannot fully substantiate.</w:t>
            </w:r>
          </w:p>
        </w:tc>
      </w:tr>
    </w:tbl>
    <w:p>
      <w:r>
        <w:br w:type="page"/>
      </w:r>
    </w:p>
    <w:p>
      <w:pPr>
        <w:spacing w:after="80"/>
      </w:pPr>
      <w:r>
        <w:rPr>
          <w:rFonts w:ascii="Arial" w:cs="Arial" w:eastAsia="Arial" w:hAnsi="Arial"/>
          <w:b/>
          <w:bCs/>
          <w:color w:val="C8A24A"/>
          <w:sz w:val="17"/>
          <w:szCs w:val="17"/>
        </w:rPr>
        <w:t xml:space="preserve">07 — SCALABILITY &amp; GROWTH STRATEGY</w:t>
      </w:r>
    </w:p>
    <w:p>
      <w:pPr>
        <w:pStyle w:val="Heading1"/>
        <w:spacing w:after="200" w:before="40"/>
      </w:pPr>
      <w:r>
        <w:rPr>
          <w:rFonts w:ascii="Arial" w:cs="Arial" w:eastAsia="Arial" w:hAnsi="Arial"/>
          <w:b/>
          <w:bCs/>
          <w:color w:val="0B1F3A"/>
          <w:sz w:val="32"/>
          <w:szCs w:val="32"/>
        </w:rPr>
        <w:t xml:space="preserve">From a Central Java Training Institution to a Multi-Region Placement Partner</w:t>
      </w:r>
    </w:p>
    <w:p>
      <w:pPr>
        <w:spacing w:after="160"/>
      </w:pPr>
      <w:r>
        <w:rPr>
          <w:rFonts w:ascii="Arial" w:cs="Arial" w:eastAsia="Arial" w:hAnsi="Arial"/>
          <w:color w:val="3A3F47"/>
          <w:sz w:val="21"/>
          <w:szCs w:val="21"/>
        </w:rPr>
        <w:t xml:space="preserve">Growth proceeds from strengthening training-and-exam pass rates, to expanding placement quota capture, to building a recognized alumni network.</w:t>
      </w:r>
    </w:p>
    <w:p>
      <w:pPr>
        <w:spacing w:after="100"/>
      </w:pPr>
    </w:p>
    <w:p>
      <w:pPr>
        <w:spacing w:after="40" w:before="100"/>
      </w:pPr>
      <w:r>
        <w:rPr>
          <w:rFonts w:ascii="Arial" w:cs="Arial" w:eastAsia="Arial" w:hAnsi="Arial"/>
          <w:b/>
          <w:bCs/>
          <w:color w:val="0B1F3A"/>
          <w:sz w:val="22"/>
          <w:szCs w:val="22"/>
        </w:rPr>
        <w:t xml:space="preserve">1. Years 1–2: Strengthen training capacity</w:t>
      </w:r>
    </w:p>
    <w:p>
      <w:pPr>
        <w:spacing w:after="160"/>
      </w:pPr>
      <w:r>
        <w:rPr>
          <w:rFonts w:ascii="Arial" w:cs="Arial" w:eastAsia="Arial" w:hAnsi="Arial"/>
          <w:color w:val="3A3F47"/>
          <w:sz w:val="21"/>
          <w:szCs w:val="21"/>
        </w:rPr>
        <w:t xml:space="preserve">Improve class capacity, instructor quality, and EPS-TOPIK exam and Magang interview pass rates.</w:t>
      </w:r>
    </w:p>
    <w:p>
      <w:pPr>
        <w:spacing w:after="40" w:before="100"/>
      </w:pPr>
      <w:r>
        <w:rPr>
          <w:rFonts w:ascii="Arial" w:cs="Arial" w:eastAsia="Arial" w:hAnsi="Arial"/>
          <w:b/>
          <w:bCs/>
          <w:color w:val="0B1F3A"/>
          <w:sz w:val="22"/>
          <w:szCs w:val="22"/>
        </w:rPr>
        <w:t xml:space="preserve">2. Years 3–5: Expand quota capture &amp; sectors</w:t>
      </w:r>
    </w:p>
    <w:p>
      <w:pPr>
        <w:spacing w:after="160"/>
      </w:pPr>
      <w:r>
        <w:rPr>
          <w:rFonts w:ascii="Arial" w:cs="Arial" w:eastAsia="Arial" w:hAnsi="Arial"/>
          <w:color w:val="3A3F47"/>
          <w:sz w:val="21"/>
          <w:szCs w:val="21"/>
        </w:rPr>
        <w:t xml:space="preserve">Grow the number of candidates successfully placed and explore additional sectors within Korea's and Japan's official worker programs.</w:t>
      </w:r>
    </w:p>
    <w:p>
      <w:pPr>
        <w:spacing w:after="40" w:before="100"/>
      </w:pPr>
      <w:r>
        <w:rPr>
          <w:rFonts w:ascii="Arial" w:cs="Arial" w:eastAsia="Arial" w:hAnsi="Arial"/>
          <w:b/>
          <w:bCs/>
          <w:color w:val="0B1F3A"/>
          <w:sz w:val="22"/>
          <w:szCs w:val="22"/>
        </w:rPr>
        <w:t xml:space="preserve">3. Year 5+: Alumni network &amp; reputation</w:t>
      </w:r>
    </w:p>
    <w:p>
      <w:pPr>
        <w:spacing w:after="160"/>
      </w:pPr>
      <w:r>
        <w:rPr>
          <w:rFonts w:ascii="Arial" w:cs="Arial" w:eastAsia="Arial" w:hAnsi="Arial"/>
          <w:color w:val="3A3F47"/>
          <w:sz w:val="21"/>
          <w:szCs w:val="21"/>
        </w:rPr>
        <w:t xml:space="preserve">Build a placed-alumni network as proof of placement credibility, and expand institutional partnerships.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b/>
                <w:bCs/>
                <w:color w:val="3A3F47"/>
                <w:sz w:val="19"/>
                <w:szCs w:val="19"/>
              </w:rPr>
              <w:t xml:space="preserve">International framing.</w:t>
            </w:r>
            <w:r>
              <w:rPr>
                <w:rFonts w:ascii="Arial" w:cs="Arial" w:eastAsia="Arial" w:hAnsi="Arial"/>
                <w:color w:val="3A3F47"/>
                <w:sz w:val="19"/>
                <w:szCs w:val="19"/>
              </w:rPr>
              <w:t xml:space="preserve"> The placement pathways are inherently international by design — into South Korea and Japan — and the training-and-compliant-placement playbook could in principle extend to other government-to-government or licensed-scheme destination countries with comparable structured worker programs. This is a directional option for future evaluation, not a committed expansion plan.</w:t>
            </w:r>
          </w:p>
        </w:tc>
      </w:tr>
    </w:tbl>
    <w:p>
      <w:r>
        <w:br w:type="page"/>
      </w:r>
    </w:p>
    <w:p>
      <w:pPr>
        <w:spacing w:after="80"/>
      </w:pPr>
      <w:r>
        <w:rPr>
          <w:rFonts w:ascii="Arial" w:cs="Arial" w:eastAsia="Arial" w:hAnsi="Arial"/>
          <w:b/>
          <w:bCs/>
          <w:color w:val="C8A24A"/>
          <w:sz w:val="17"/>
          <w:szCs w:val="17"/>
        </w:rPr>
        <w:t xml:space="preserve">08 — LEGAL &amp; REGULATORY COMPLIANCE</w:t>
      </w:r>
    </w:p>
    <w:p>
      <w:pPr>
        <w:pStyle w:val="Heading1"/>
        <w:spacing w:after="200" w:before="40"/>
      </w:pPr>
      <w:r>
        <w:rPr>
          <w:rFonts w:ascii="Arial" w:cs="Arial" w:eastAsia="Arial" w:hAnsi="Arial"/>
          <w:b/>
          <w:bCs/>
          <w:color w:val="0B1F3A"/>
          <w:sz w:val="32"/>
          <w:szCs w:val="32"/>
        </w:rPr>
        <w:t xml:space="preserve">Built on a Fully Licensed Legal Foundation</w:t>
      </w:r>
    </w:p>
    <w:p>
      <w:pPr>
        <w:spacing w:after="160"/>
      </w:pPr>
      <w:r>
        <w:rPr>
          <w:rFonts w:ascii="Arial" w:cs="Arial" w:eastAsia="Arial" w:hAnsi="Arial"/>
          <w:color w:val="3A3F47"/>
          <w:sz w:val="21"/>
          <w:szCs w:val="21"/>
        </w:rPr>
        <w:t xml:space="preserve">The division operates strictly within Indonesia's official overseas-placement framework, coordinating with BP2MI for both the Korea G to G and Japan Magang pathways.</w:t>
      </w:r>
    </w:p>
    <w:p>
      <w:pPr>
        <w:spacing w:after="100"/>
      </w:pPr>
    </w:p>
    <w:p>
      <w:pPr>
        <w:pStyle w:val="ListParagraph"/>
        <w:numPr>
          <w:ilvl w:val="0"/>
          <w:numId w:val="1"/>
        </w:numPr>
        <w:spacing w:after="100"/>
      </w:pPr>
      <w:r>
        <w:rPr>
          <w:rFonts w:ascii="Arial" w:cs="Arial" w:eastAsia="Arial" w:hAnsi="Arial"/>
          <w:b/>
          <w:bCs/>
          <w:color w:val="3A3F47"/>
          <w:sz w:val="21"/>
          <w:szCs w:val="21"/>
        </w:rPr>
        <w:t xml:space="preserve">Legal Entity:</w:t>
      </w:r>
      <w:r>
        <w:rPr>
          <w:rFonts w:ascii="Arial" w:cs="Arial" w:eastAsia="Arial" w:hAnsi="Arial"/>
          <w:color w:val="3A3F47"/>
          <w:sz w:val="21"/>
          <w:szCs w:val="21"/>
        </w:rPr>
        <w:t xml:space="preserve"> PT (Perseroan Terbatas / Limited Liability Company), ratified under Deed No. AHU-0032243.AH.01.02.Tahun 2025.</w:t>
      </w:r>
    </w:p>
    <w:p>
      <w:pPr>
        <w:pStyle w:val="ListParagraph"/>
        <w:numPr>
          <w:ilvl w:val="0"/>
          <w:numId w:val="1"/>
        </w:numPr>
        <w:spacing w:after="100"/>
      </w:pPr>
      <w:r>
        <w:rPr>
          <w:rFonts w:ascii="Arial" w:cs="Arial" w:eastAsia="Arial" w:hAnsi="Arial"/>
          <w:b/>
          <w:bCs/>
          <w:color w:val="3A3F47"/>
          <w:sz w:val="21"/>
          <w:szCs w:val="21"/>
        </w:rPr>
        <w:t xml:space="preserve">Tax ID (NPWP):</w:t>
      </w:r>
      <w:r>
        <w:rPr>
          <w:rFonts w:ascii="Arial" w:cs="Arial" w:eastAsia="Arial" w:hAnsi="Arial"/>
          <w:color w:val="3A3F47"/>
          <w:sz w:val="21"/>
          <w:szCs w:val="21"/>
        </w:rPr>
        <w:t xml:space="preserve"> 1.000.0000.0187.7604 — registered taxpayer with the Indonesian Directorate General of Taxes.</w:t>
      </w:r>
    </w:p>
    <w:p>
      <w:pPr>
        <w:pStyle w:val="ListParagraph"/>
        <w:numPr>
          <w:ilvl w:val="0"/>
          <w:numId w:val="1"/>
        </w:numPr>
        <w:spacing w:after="100"/>
      </w:pPr>
      <w:r>
        <w:rPr>
          <w:rFonts w:ascii="Arial" w:cs="Arial" w:eastAsia="Arial" w:hAnsi="Arial"/>
          <w:b/>
          <w:bCs/>
          <w:color w:val="3A3F47"/>
          <w:sz w:val="21"/>
          <w:szCs w:val="21"/>
        </w:rPr>
        <w:t xml:space="preserve">Business ID (NIB):</w:t>
      </w:r>
      <w:r>
        <w:rPr>
          <w:rFonts w:ascii="Arial" w:cs="Arial" w:eastAsia="Arial" w:hAnsi="Arial"/>
          <w:color w:val="3A3F47"/>
          <w:sz w:val="21"/>
          <w:szCs w:val="21"/>
        </w:rPr>
        <w:t xml:space="preserve"> 2804250030574 — registered via Indonesia's national OSS (Online Single Submission) system.</w:t>
      </w:r>
    </w:p>
    <w:p>
      <w:pPr>
        <w:pStyle w:val="ListParagraph"/>
        <w:numPr>
          <w:ilvl w:val="0"/>
          <w:numId w:val="1"/>
        </w:numPr>
        <w:spacing w:after="100"/>
      </w:pPr>
      <w:r>
        <w:rPr>
          <w:rFonts w:ascii="Arial" w:cs="Arial" w:eastAsia="Arial" w:hAnsi="Arial"/>
          <w:b/>
          <w:bCs/>
          <w:color w:val="3A3F47"/>
          <w:sz w:val="21"/>
          <w:szCs w:val="21"/>
        </w:rPr>
        <w:t xml:space="preserve">Placement channel:</w:t>
      </w:r>
      <w:r>
        <w:rPr>
          <w:rFonts w:ascii="Arial" w:cs="Arial" w:eastAsia="Arial" w:hAnsi="Arial"/>
          <w:color w:val="3A3F47"/>
          <w:sz w:val="21"/>
          <w:szCs w:val="21"/>
        </w:rPr>
        <w:t xml:space="preserve"> Candidates are placed exclusively through Indonesia's official BP2MI-administered G to G (Korea) and Magang (Japan) government schemes — not through independent or unlicensed brokers.</w:t>
      </w:r>
    </w:p>
    <w:p>
      <w:pPr>
        <w:pStyle w:val="ListParagraph"/>
        <w:numPr>
          <w:ilvl w:val="0"/>
          <w:numId w:val="1"/>
        </w:numPr>
        <w:spacing w:after="100"/>
      </w:pPr>
      <w:r>
        <w:rPr>
          <w:rFonts w:ascii="Arial" w:cs="Arial" w:eastAsia="Arial" w:hAnsi="Arial"/>
          <w:b/>
          <w:bCs/>
          <w:color w:val="3A3F47"/>
          <w:sz w:val="21"/>
          <w:szCs w:val="21"/>
        </w:rPr>
        <w:t xml:space="preserve">Training institution:</w:t>
      </w:r>
      <w:r>
        <w:rPr>
          <w:rFonts w:ascii="Arial" w:cs="Arial" w:eastAsia="Arial" w:hAnsi="Arial"/>
          <w:color w:val="3A3F47"/>
          <w:sz w:val="21"/>
          <w:szCs w:val="21"/>
        </w:rPr>
        <w:t xml:space="preserve"> Operates as LPK Hanggugo Indonesia, providing Korean- and Japanese-language instruction and EPS-TOPIK/skills-test preparation, based in Batang, Central Java.</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Certified copies of the entity's incorporation documents and the training institution's operating documentation are available for review during due diligence.</w:t>
            </w:r>
          </w:p>
        </w:tc>
      </w:tr>
    </w:tbl>
    <w:p>
      <w:r>
        <w:br w:type="page"/>
      </w:r>
    </w:p>
    <w:p>
      <w:pPr>
        <w:spacing w:after="80"/>
      </w:pPr>
      <w:r>
        <w:rPr>
          <w:rFonts w:ascii="Arial" w:cs="Arial" w:eastAsia="Arial" w:hAnsi="Arial"/>
          <w:b/>
          <w:bCs/>
          <w:color w:val="C8A24A"/>
          <w:sz w:val="17"/>
          <w:szCs w:val="17"/>
        </w:rPr>
        <w:t xml:space="preserve">09 — CORE TEAM</w:t>
      </w:r>
    </w:p>
    <w:p>
      <w:pPr>
        <w:pStyle w:val="Heading1"/>
        <w:spacing w:after="200" w:before="40"/>
      </w:pPr>
      <w:r>
        <w:rPr>
          <w:rFonts w:ascii="Arial" w:cs="Arial" w:eastAsia="Arial" w:hAnsi="Arial"/>
          <w:b/>
          <w:bCs/>
          <w:color w:val="0B1F3A"/>
          <w:sz w:val="32"/>
          <w:szCs w:val="32"/>
        </w:rPr>
        <w:t xml:space="preserve">Leadership Grounded in Legal &amp; Governance Expertise</w:t>
      </w:r>
    </w:p>
    <w:p>
      <w:pPr>
        <w:spacing w:after="160"/>
      </w:pPr>
      <w:r>
        <w:rPr>
          <w:rFonts w:ascii="Arial" w:cs="Arial" w:eastAsia="Arial" w:hAnsi="Arial"/>
          <w:color w:val="3A3F47"/>
          <w:sz w:val="21"/>
          <w:szCs w:val="21"/>
        </w:rPr>
        <w:t xml:space="preserve">Leadership combines legal qualification with governance and management oversight across the group's six divisions.</w:t>
      </w:r>
    </w:p>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Name &amp; Role</w:t>
            </w:r>
          </w:p>
        </w:tc>
        <w:tc>
          <w:tcPr>
            <w:shd w:fill="0B1F3A" w:val="clear"/>
            <w:tcMar>
              <w:top w:type="dxa" w:w="100"/>
              <w:left w:type="dxa" w:w="150"/>
              <w:bottom w:type="dxa" w:w="100"/>
              <w:right w:type="dxa" w:w="150"/>
            </w:tcMar>
          </w:tcPr>
          <w:p>
            <w:r>
              <w:rPr>
                <w:rFonts w:ascii="Arial" w:cs="Arial" w:eastAsia="Arial" w:hAnsi="Arial"/>
                <w:b/>
                <w:bCs/>
                <w:color w:val="FFFFFF"/>
                <w:sz w:val="18"/>
                <w:szCs w:val="18"/>
              </w:rPr>
              <w:t xml:space="preserve">Background</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HM. Asrori, S.H., M.H.
President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Leads overall group strategy and legal practice direction.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Teguh Santoso, S.H., M.M.
Deputy Director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Management (M.M.). Oversees operations and business management across the group's six divisions. Full CV available under due diligence.</w:t>
            </w:r>
          </w:p>
        </w:tc>
      </w:tr>
      <w:tr>
        <w:tc>
          <w:tcPr>
            <w:tcBorders>
              <w:top w:val="single" w:color="E6E6E3" w:sz="2"/>
              <w:left w:val="single" w:color="E6E6E3" w:sz="2"/>
              <w:bottom w:val="single" w:color="E6E6E3" w:sz="2"/>
              <w:right w:val="single" w:color="E6E6E3" w:sz="2"/>
            </w:tcBorders>
            <w:shd w:fill="FBFBFA" w:val="clear"/>
            <w:tcMar>
              <w:top w:type="dxa" w:w="100"/>
              <w:left w:type="dxa" w:w="150"/>
              <w:bottom w:type="dxa" w:w="100"/>
              <w:right w:type="dxa" w:w="150"/>
            </w:tcMar>
          </w:tcPr>
          <w:p>
            <w:r>
              <w:rPr>
                <w:rFonts w:ascii="Arial" w:cs="Arial" w:eastAsia="Arial" w:hAnsi="Arial"/>
                <w:b/>
                <w:bCs/>
                <w:color w:val="0B1F3A"/>
                <w:sz w:val="19"/>
                <w:szCs w:val="19"/>
              </w:rPr>
              <w:t xml:space="preserve">Febryan Alam Susatyo, S.H., M.H.
Commissioner</w:t>
            </w:r>
          </w:p>
        </w:tc>
        <w:tc>
          <w:tcPr>
            <w:tcBorders>
              <w:top w:val="single" w:color="E6E6E3" w:sz="2"/>
              <w:left w:val="single" w:color="E6E6E3" w:sz="2"/>
              <w:bottom w:val="single" w:color="E6E6E3" w:sz="2"/>
              <w:right w:val="single" w:color="E6E6E3" w:sz="2"/>
            </w:tcBorders>
            <w:shd w:fill="FFFFFF" w:val="clear"/>
            <w:tcMar>
              <w:top w:type="dxa" w:w="100"/>
              <w:left w:type="dxa" w:w="150"/>
              <w:bottom w:type="dxa" w:w="100"/>
              <w:right w:type="dxa" w:w="150"/>
            </w:tcMar>
          </w:tcPr>
          <w:p>
            <w:r>
              <w:rPr>
                <w:rFonts w:ascii="Arial" w:cs="Arial" w:eastAsia="Arial" w:hAnsi="Arial"/>
                <w:b w:val="false"/>
                <w:bCs w:val="false"/>
                <w:color w:val="3A3F47"/>
                <w:sz w:val="19"/>
                <w:szCs w:val="19"/>
              </w:rPr>
              <w:t xml:space="preserve">Bachelor of Laws (S.H.) and Master of Laws (M.H.). Provides governance oversight of legal and corporate affairs. Full CV available under due diligence.</w:t>
            </w:r>
          </w:p>
        </w:tc>
      </w:tr>
    </w:tbl>
    <w:p>
      <w:pPr>
        <w:spacing w:after="100"/>
      </w:pP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50"/>
            <w:tcBorders>
              <w:top w:val="single" w:color="E6E6E3" w:sz="4"/>
              <w:left w:val="single" w:color="C8A24A" w:sz="24"/>
              <w:bottom w:val="single" w:color="E6E6E3" w:sz="4"/>
              <w:right w:val="single" w:color="E6E6E3" w:sz="4"/>
            </w:tcBorders>
            <w:shd w:fill="FBFBFA" w:val="clear"/>
            <w:tcMar>
              <w:top w:type="dxa" w:w="160"/>
              <w:left w:type="dxa" w:w="200"/>
              <w:bottom w:type="dxa" w:w="160"/>
              <w:right w:type="dxa" w:w="200"/>
            </w:tcMar>
          </w:tcPr>
          <w:p>
            <w:r>
              <w:rPr>
                <w:rFonts w:ascii="Arial" w:cs="Arial" w:eastAsia="Arial" w:hAnsi="Arial"/>
                <w:b/>
                <w:bCs/>
                <w:color w:val="0B1F3A"/>
                <w:sz w:val="19"/>
                <w:szCs w:val="19"/>
              </w:rPr>
              <w:t xml:space="preserve"> </w:t>
            </w:r>
            <w:r>
              <w:rPr>
                <w:rFonts w:ascii="Arial" w:cs="Arial" w:eastAsia="Arial" w:hAnsi="Arial"/>
                <w:color w:val="3A3F47"/>
                <w:sz w:val="19"/>
                <w:szCs w:val="19"/>
              </w:rPr>
              <w:t xml:space="preserve">Detailed track records, references, and full professional CVs for the leadership team are shared directly with qualified investors during the due-diligence stage.</w:t>
            </w:r>
          </w:p>
        </w:tc>
      </w:tr>
    </w:tbl>
    <w:p>
      <w:r>
        <w:br w:type="page"/>
      </w:r>
    </w:p>
    <w:p>
      <w:pPr>
        <w:spacing w:after="80"/>
      </w:pPr>
      <w:r>
        <w:rPr>
          <w:rFonts w:ascii="Arial" w:cs="Arial" w:eastAsia="Arial" w:hAnsi="Arial"/>
          <w:b/>
          <w:bCs/>
          <w:color w:val="C8A24A"/>
          <w:sz w:val="17"/>
          <w:szCs w:val="17"/>
        </w:rPr>
        <w:t xml:space="preserve">LET'S BUILD THIS TOGETHER</w:t>
      </w:r>
    </w:p>
    <w:p>
      <w:pPr>
        <w:pStyle w:val="Heading1"/>
        <w:spacing w:after="200" w:before="40"/>
      </w:pPr>
      <w:r>
        <w:rPr>
          <w:rFonts w:ascii="Arial" w:cs="Arial" w:eastAsia="Arial" w:hAnsi="Arial"/>
          <w:b/>
          <w:bCs/>
          <w:color w:val="0B1F3A"/>
          <w:sz w:val="32"/>
          <w:szCs w:val="32"/>
        </w:rPr>
        <w:t xml:space="preserve">Help Us Open a Legal, Well-Prepared Pathway Into Korea's and Japan's Labor Markets</w:t>
      </w:r>
    </w:p>
    <w:p>
      <w:pPr>
        <w:spacing w:after="160"/>
      </w:pPr>
      <w:r>
        <w:rPr>
          <w:rFonts w:ascii="Arial" w:cs="Arial" w:eastAsia="Arial" w:hAnsi="Arial"/>
          <w:color w:val="3A3F47"/>
          <w:sz w:val="21"/>
          <w:szCs w:val="21"/>
        </w:rPr>
        <w:t xml:space="preserve">We welcome conversations with investors and strategic partners who see the opportunity in a compliant, government-channel language-training and placement institution addressing two officially quantified overseas-labor gaps. Full financials and team CVs are available under NDA.</w:t>
      </w:r>
    </w:p>
    <w:p>
      <w:pPr>
        <w:spacing w:after="200"/>
      </w:pPr>
    </w:p>
    <w:p>
      <w:pPr>
        <w:spacing w:after="60"/>
      </w:pPr>
      <w:r>
        <w:rPr>
          <w:rFonts w:ascii="Arial" w:cs="Arial" w:eastAsia="Arial" w:hAnsi="Arial"/>
          <w:b/>
          <w:bCs/>
          <w:color w:val="0B1F3A"/>
          <w:sz w:val="20"/>
          <w:szCs w:val="20"/>
        </w:rPr>
        <w:t xml:space="preserve">WhatsApp: </w:t>
      </w:r>
      <w:r>
        <w:rPr>
          <w:rFonts w:ascii="Arial" w:cs="Arial" w:eastAsia="Arial" w:hAnsi="Arial"/>
          <w:sz w:val="20"/>
          <w:szCs w:val="20"/>
        </w:rPr>
        <w:t xml:space="preserve">0811-2696-066</w:t>
      </w:r>
    </w:p>
    <w:p>
      <w:pPr>
        <w:spacing w:after="60"/>
      </w:pPr>
      <w:r>
        <w:rPr>
          <w:rFonts w:ascii="Arial" w:cs="Arial" w:eastAsia="Arial" w:hAnsi="Arial"/>
          <w:b/>
          <w:bCs/>
          <w:color w:val="0B1F3A"/>
          <w:sz w:val="20"/>
          <w:szCs w:val="20"/>
        </w:rPr>
        <w:t xml:space="preserve">Email: </w:t>
      </w:r>
      <w:r>
        <w:rPr>
          <w:rFonts w:ascii="Arial" w:cs="Arial" w:eastAsia="Arial" w:hAnsi="Arial"/>
          <w:sz w:val="20"/>
          <w:szCs w:val="20"/>
        </w:rPr>
        <w:t xml:space="preserve">adm@legalku.co.id</w:t>
      </w:r>
    </w:p>
    <w:p>
      <w:pPr>
        <w:spacing w:after="60"/>
      </w:pPr>
      <w:r>
        <w:rPr>
          <w:rFonts w:ascii="Arial" w:cs="Arial" w:eastAsia="Arial" w:hAnsi="Arial"/>
          <w:b/>
          <w:bCs/>
          <w:color w:val="0B1F3A"/>
          <w:sz w:val="20"/>
          <w:szCs w:val="20"/>
        </w:rPr>
        <w:t xml:space="preserve">Website: </w:t>
      </w:r>
      <w:r>
        <w:rPr>
          <w:rFonts w:ascii="Arial" w:cs="Arial" w:eastAsia="Arial" w:hAnsi="Arial"/>
          <w:sz w:val="20"/>
          <w:szCs w:val="20"/>
        </w:rPr>
        <w:t xml:space="preserve">www.legalku.org</w:t>
      </w:r>
    </w:p>
    <w:p>
      <w:pPr>
        <w:spacing w:after="60"/>
      </w:pPr>
      <w:r>
        <w:rPr>
          <w:rFonts w:ascii="Arial" w:cs="Arial" w:eastAsia="Arial" w:hAnsi="Arial"/>
          <w:b/>
          <w:bCs/>
          <w:color w:val="0B1F3A"/>
          <w:sz w:val="20"/>
          <w:szCs w:val="20"/>
        </w:rPr>
        <w:t xml:space="preserve">Office: </w:t>
      </w:r>
      <w:r>
        <w:rPr>
          <w:rFonts w:ascii="Arial" w:cs="Arial" w:eastAsia="Arial" w:hAnsi="Arial"/>
          <w:sz w:val="20"/>
          <w:szCs w:val="20"/>
        </w:rPr>
        <w:t xml:space="preserve">Jl. Taman Flamboyan Raya No. 26, Pedurungan Lor, Semarang, Indonesia</w:t>
      </w:r>
    </w:p>
    <w:sectPr>
      <w:headerReference w:type="default" r:id="rId19"/>
      <w:footerReference w:type="default" r:id="rId20"/>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Page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of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LEGAL SERVICES DIVISION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BUSINESS LICENSING DIVISION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BOOK &amp; JOURNAL PUBLISHING DIVISION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BOTTLED WATER PRODUCTION DIVISION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LEGAL-TECH APPLICATION DIVISION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INVESTOR PITCH DECK COMBINED · KOREAN &amp; JAPANESE LANGUAGE TRAINING AND OVERSEAS-PLACEMENT DIVISION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image" Target="media/0316c3375e07790a6ec8503c500827fb9abfa22a.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Combined Investor Pitch Deck (Six Divisions)</dc:title>
  <dc:subject>Combined Investor Pitch Deck — All Six Business Divisions, PT Legalku Multi Digital, Semarang, Indonesia.</dc:subject>
  <dc:creator>PT Legalku Multi Digital</dc:creator>
  <cp:keywords>combined investor pitch deck, PT Legalku Multi Digital, six business divisions, Indonesia investment opportunity, Semarang business partnership</cp:keywords>
  <dc:description>Combined Investor Pitch Deck — All Six Business Divisions, PT Legalku Multi Digital, Semarang, Indonesia.</dc:description>
  <cp:lastModifiedBy>PT Legalku Multi Digital</cp:lastModifiedBy>
  <cp:revision>1</cp:revision>
  <dcterms:created xsi:type="dcterms:W3CDTF">2026-09-03T03:40:31.532Z</dcterms:created>
  <dcterms:modified xsi:type="dcterms:W3CDTF">2026-09-03T03:40:31.532Z</dcterms:modified>
</cp:coreProperties>
</file>

<file path=docProps/custom.xml><?xml version="1.0" encoding="utf-8"?>
<Properties xmlns="http://schemas.openxmlformats.org/officeDocument/2006/custom-properties" xmlns:vt="http://schemas.openxmlformats.org/officeDocument/2006/docPropsVTypes"/>
</file>