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16838" w:hRule="atLeast"/>
        </w:trPr>
        <w:tc>
          <w:tcPr>
            <w:tcW w:type="dxa" w:w="11906"/>
            <w:shd w:fill="0B1F3A" w:val="clear"/>
            <w:tcMar>
              <w:top w:type="dxa" w:w="900"/>
              <w:left w:type="dxa" w:w="900"/>
              <w:bottom w:type="dxa" w:w="900"/>
              <w:right w:type="dxa" w:w="900"/>
            </w:tcMar>
            <w:vAlign w:val="top"/>
          </w:tcPr>
          <w:p>
            <w:pPr>
              <w:spacing w:after="160"/>
            </w:pPr>
            <w:r>
              <w:drawing>
                <wp:inline distT="0" distB="0" distL="0" distR="0">
                  <wp:extent cx="5334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PT LEGALKU MULTI DIGITAL</w:t>
            </w:r>
          </w:p>
          <w:p>
            <w:pPr>
              <w:spacing w:after="3000"/>
            </w:pPr>
            <w:r>
              <w:rPr>
                <w:rFonts w:ascii="Arial" w:cs="Arial" w:eastAsia="Arial" w:hAnsi="Arial"/>
                <w:color w:val="9FB0CC"/>
                <w:sz w:val="17"/>
                <w:szCs w:val="17"/>
              </w:rPr>
              <w:t xml:space="preserve">Investor Pitch Deck  ·  September 2026</w:t>
            </w:r>
          </w:p>
          <w:p>
            <w:pPr>
              <w:spacing w:after="220"/>
            </w:pPr>
            <w:r>
              <w:rPr>
                <w:rFonts w:ascii="Arial" w:cs="Arial" w:eastAsia="Arial" w:hAnsi="Arial"/>
                <w:b/>
                <w:bCs/>
                <w:color w:val="F0D9A0"/>
                <w:sz w:val="16"/>
                <w:szCs w:val="16"/>
                <w:shd w:fill="1E3A63" w:val="clear"/>
              </w:rPr>
              <w:t xml:space="preserve">  BOOK &amp; JOURNAL PUBLISHING DIVISION  </w:t>
            </w:r>
          </w:p>
          <w:p>
            <w:pPr>
              <w:spacing w:after="140" w:before="60"/>
            </w:pPr>
            <w:r>
              <w:rPr>
                <w:rFonts w:ascii="Arial" w:cs="Arial" w:eastAsia="Arial" w:hAnsi="Arial"/>
                <w:b/>
                <w:bCs/>
                <w:color w:val="FFFFFF"/>
                <w:sz w:val="58"/>
                <w:szCs w:val="58"/>
              </w:rPr>
              <w:t xml:space="preserve">Legalku Publishing</w:t>
            </w:r>
          </w:p>
          <w:p>
            <w:pPr>
              <w:spacing w:after="200"/>
            </w:pPr>
            <w:r>
              <w:rPr>
                <w:rFonts w:ascii="Arial" w:cs="Arial" w:eastAsia="Arial" w:hAnsi="Arial"/>
                <w:i/>
                <w:iCs/>
                <w:color w:val="DBE4F0"/>
                <w:sz w:val="24"/>
                <w:szCs w:val="24"/>
              </w:rPr>
              <w:t xml:space="preserve">Professional, ISBN-registered publishing for Indonesia's authors, academics, and researchers.</w:t>
            </w:r>
          </w:p>
          <w:p>
            <w:pPr>
              <w:pBdr>
                <w:top w:val="single" w:color="C8A24A" w:sz="12" w:space="1"/>
              </w:pBdr>
              <w:spacing w:after="3400"/>
              <w:ind w:right="8000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pBdr>
                <w:top w:val="single" w:color="3E5B8A" w:sz="4"/>
              </w:pBdr>
              <w:spacing w:after="90"/>
            </w:pPr>
            <w:r>
              <w:rPr>
                <w:rFonts w:ascii="Arial" w:cs="Arial" w:eastAsia="Arial" w:hAnsi="Arial"/>
                <w:b/>
                <w:bCs/>
                <w:color w:val="8FA0BD"/>
                <w:sz w:val="15"/>
                <w:szCs w:val="15"/>
              </w:rPr>
              <w:t xml:space="preserve">HEADQUARTERS 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Semarang, Central Java, Indonesia</w:t>
            </w:r>
          </w:p>
          <w:p>
            <w:pPr>
              <w:spacing w:after="220"/>
            </w:pPr>
            <w:r>
              <w:rPr>
                <w:rFonts w:ascii="Arial" w:cs="Arial" w:eastAsia="Arial" w:hAnsi="Arial"/>
                <w:b/>
                <w:bCs/>
                <w:color w:val="8FA0BD"/>
                <w:sz w:val="15"/>
                <w:szCs w:val="15"/>
              </w:rPr>
              <w:t xml:space="preserve">PREPARED FOR 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Prospective Investors &amp; Strategic Partners</w:t>
            </w:r>
          </w:p>
          <w:p>
            <w:r>
              <w:rPr>
                <w:rFonts w:ascii="Arial" w:cs="Arial" w:eastAsia="Arial" w:hAnsi="Arial"/>
                <w:i/>
                <w:iCs/>
                <w:color w:val="9FB0CC"/>
                <w:sz w:val="16"/>
                <w:szCs w:val="16"/>
              </w:rPr>
              <w:t xml:space="preserve">This document is confidential and intended solely for the named recipient to evaluate a potential investment or partnership with PT Legalku Multi Digital.</w:t>
            </w:r>
          </w:p>
        </w:tc>
      </w:tr>
    </w:tbl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01 — EXECUTIVE SUMMARY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Professionalizing Publishing Services for a Large, Recurring National Market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Legalku's Publishing division provides professional ISBN-registered book and scientific-journal publishing services, including editing, proofreading, layout, cover design, and copyright (HKI) registration, for first-time authors, academics, and researchers across Indonesia.</w:t>
      </w:r>
    </w:p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single" w:color="C8A24A" w:sz="18"/>
            </w:tcBorders>
            <w:shd w:fill="FBF6E9" w:val="clear"/>
            <w:tcMar>
              <w:top w:type="dxa" w:w="12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26"/>
                <w:szCs w:val="26"/>
              </w:rPr>
              <w:t xml:space="preserve">128,814</w:t>
            </w:r>
          </w:p>
          <w:p>
            <w:r>
              <w:rPr>
                <w:rFonts w:ascii="Arial" w:cs="Arial" w:eastAsia="Arial" w:hAnsi="Arial"/>
                <w:color w:val="3A3F47"/>
                <w:sz w:val="16"/>
                <w:szCs w:val="16"/>
              </w:rPr>
              <w:t xml:space="preserve">ISBN numbers issued nationally, 2025 (Perpusnas RI)</w:t>
            </w:r>
          </w:p>
        </w:tc>
        <w:tc>
          <w:tcPr>
            <w:tcW w:type="dxa" w:w="4675"/>
            <w:tcBorders>
              <w:top w:val="single" w:color="C8A24A" w:sz="18"/>
            </w:tcBorders>
            <w:shd w:fill="FBF6E9" w:val="clear"/>
            <w:tcMar>
              <w:top w:type="dxa" w:w="12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26"/>
                <w:szCs w:val="26"/>
              </w:rPr>
              <w:t xml:space="preserve">95K–160K</w:t>
            </w:r>
          </w:p>
          <w:p>
            <w:r>
              <w:rPr>
                <w:rFonts w:ascii="Arial" w:cs="Arial" w:eastAsia="Arial" w:hAnsi="Arial"/>
                <w:color w:val="3A3F47"/>
                <w:sz w:val="16"/>
                <w:szCs w:val="16"/>
              </w:rPr>
              <w:t xml:space="preserve">Historical annual ISBN range, 2018–2023</w:t>
            </w:r>
          </w:p>
        </w:tc>
      </w:tr>
    </w:tbl>
    <w:p>
      <w:pPr>
        <w:spacing w:after="100"/>
      </w:pP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B1F3A"/>
          <w:sz w:val="24"/>
          <w:szCs w:val="24"/>
        </w:rPr>
        <w:t xml:space="preserve">What We Do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Full-service, ISBN-registered publishing.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Editorial, proofreading, layout, cover design, ISBN registration, and copyright (HKI) filing support for books and scientific journals.</w:t>
      </w: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B1F3A"/>
          <w:sz w:val="24"/>
          <w:szCs w:val="24"/>
        </w:rPr>
        <w:t xml:space="preserve">Why Now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A large, sustained annual publishing market.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Indonesia issues well over 100,000 ISBNs a year on a multi-year, sustained basis — a large, recurring pool of authors needing professional publishing support.</w:t>
      </w:r>
    </w:p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02 — PROBLEM &amp; SOLUTION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Publishing Is In High Demand — Quality, Legal Publishing Support Is Not</w:t>
      </w: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B1F3A"/>
          <w:sz w:val="24"/>
          <w:szCs w:val="24"/>
        </w:rPr>
        <w:t xml:space="preserve">The Problem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High demand for ISBN registration outpaces professional support.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Tens of thousands of first-time authors, lecturers, and researchers seek to publish each year, but face a complex ISBN application process and often lack access to reliable editorial, layout, and copyright-registration support.</w:t>
      </w: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B1F3A"/>
          <w:sz w:val="24"/>
          <w:szCs w:val="24"/>
        </w:rPr>
        <w:t xml:space="preserve">Our Solution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A managed, professional publishing pipeline.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Legalku offers a single point of contact from manuscript to finished, ISBN-registered publication — including copyright (HKI) filing — on a scheduled, transparent editorial timeline.</w:t>
      </w:r>
    </w:p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50"/>
            <w:tcBorders>
              <w:top w:val="single" w:color="E6E6E3" w:sz="4"/>
              <w:left w:val="single" w:color="C8A24A" w:sz="24"/>
              <w:bottom w:val="single" w:color="E6E6E3" w:sz="4"/>
              <w:right w:val="single" w:color="E6E6E3" w:sz="4"/>
            </w:tcBorders>
            <w:shd w:fill="FBFBFA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Evidence, not assumption. </w:t>
            </w:r>
            <w:r>
              <w:rPr>
                <w:rFonts w:ascii="Arial" w:cs="Arial" w:eastAsia="Arial" w:hAnsi="Arial"/>
                <w:color w:val="3A3F47"/>
                <w:sz w:val="19"/>
                <w:szCs w:val="19"/>
              </w:rPr>
              <w:t xml:space="preserve">The National Library of Indonesia (Perpustakaan Nasional RI) issued 128,814 ISBN numbers in 2025, continuing a historical range of roughly 95,000–160,000 ISBNs per year between 2018 and 2023 (source: Perpusnas RI 2025 ISBN statistics; GoodStats Data) — evidence of a large and sustained, not one-off, publishing market.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03 — MARKET SIZE (TAM / SAM / SOM)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A Sustained Market of Six-Figure Annual Publishing Volume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shd w:fill="0B1F3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Tier</w:t>
            </w:r>
          </w:p>
        </w:tc>
        <w:tc>
          <w:tcPr>
            <w:shd w:fill="0B1F3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Estimate &amp; Basis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TAM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3A3F47"/>
                <w:sz w:val="19"/>
                <w:szCs w:val="19"/>
              </w:rPr>
              <w:t xml:space="preserve">128,814 ISBN registrations / year</w:t>
            </w:r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 — National ISBN issuance volume in 2025 (Perpusnas RI) — each registration represents a publishing project that is a potential Legalku client.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SAM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3A3F47"/>
                <w:sz w:val="19"/>
                <w:szCs w:val="19"/>
              </w:rPr>
              <w:t xml:space="preserve">~95,000 ISBN registrations / year (baseline)</w:t>
            </w:r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 — The conservative, lower end of the 2018–2023 historical range is used deliberately, rather than the record 2025 figure, to avoid overstating what may include a cyclical peak.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SOM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3A3F47"/>
                <w:sz w:val="19"/>
                <w:szCs w:val="19"/>
              </w:rPr>
              <w:t xml:space="preserve">~190–475 titles / year (target)</w:t>
            </w:r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 — Internal 3-year planning target: 0.2%–0.5% of the SAM baseline, reflecting realistic capacity for a growing full-service editorial team.</w:t>
            </w:r>
          </w:p>
        </w:tc>
      </w:tr>
    </w:tbl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50"/>
            <w:tcBorders>
              <w:top w:val="single" w:color="E6E6E3" w:sz="4"/>
              <w:left w:val="single" w:color="C8A24A" w:sz="24"/>
              <w:bottom w:val="single" w:color="E6E6E3" w:sz="4"/>
              <w:right w:val="single" w:color="E6E6E3" w:sz="4"/>
            </w:tcBorders>
            <w:shd w:fill="FBFBFA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Methodology &amp; sourcing. </w:t>
            </w:r>
            <w:r>
              <w:rPr>
                <w:rFonts w:ascii="Arial" w:cs="Arial" w:eastAsia="Arial" w:hAnsi="Arial"/>
                <w:color w:val="3A3F47"/>
                <w:sz w:val="19"/>
                <w:szCs w:val="19"/>
              </w:rPr>
              <w:t xml:space="preserve">TAM and the SAM baseline are drawn directly from Perpusnas RI's published ISBN statistics and GoodStats Data's historical series (2018–2023); no breakdown between self-published and full-service-publisher segments is publicly available, so SAM conservatively uses the full historical baseline volume. SOM is management's own illustrative capture target, not an audited projection.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04 — BUSINESS MODEL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Per-Title Publishing Fees, With Institutional Volume Potential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Revenue is earned per published title, with journal-publishing engagements offering a path to recurring, higher-volume institutional relationships.</w:t>
      </w:r>
    </w:p>
    <w:p>
      <w:pPr>
        <w:spacing w:after="100"/>
      </w:pP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1. Manuscript intake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Authors, lecturers, or researchers submit a manuscript for book or journal publication.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2. Editorial pipeline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Editing, proofreading, layout, and cover design proceed on a scheduled, transparent timeline.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3. ISBN &amp; copyright registration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Legalku manages ISBN registration with the National Library and, where needed, copyright (HKI) filing to protect the author's work.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4. Distribution support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Finished titles are positioned for distribution to the author's target audience (academic, general readership, or institutional).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5. Institutional &amp; journal relationships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Universities and research institutions publishing journals on a recurring basis represent a higher-volume, repeat-revenue segment.</w:t>
      </w:r>
    </w:p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05 — COMPETITIVE ADVANTAGE (MOAT)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Why This Is Hard to Copy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The moat here is process discipline plus legal integration, not exclusive access to any single resource.</w:t>
      </w:r>
    </w:p>
    <w:p>
      <w:pPr>
        <w:spacing w:after="100"/>
      </w:pPr>
    </w:p>
    <w:p>
      <w:pPr>
        <w:spacing w:after="30" w:before="8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Scheduled, reliable editorial process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A consistent, on-time editorial pipeline is a genuine differentiator in a market where self-publishing and informal services are common and inconsistent.</w:t>
      </w:r>
    </w:p>
    <w:p>
      <w:pPr>
        <w:spacing w:after="30" w:before="8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Legal-services integration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In-house access to the Legal Services division for copyright (HKI) registration is a meaningful advantage most publishing services cannot offer directly.</w:t>
      </w:r>
    </w:p>
    <w:p>
      <w:pPr>
        <w:spacing w:after="30" w:before="8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Serves the full author spectrum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From first-time authors to academics and researchers — breadth that lets the division capture both individual and institutional demand.</w:t>
      </w:r>
    </w:p>
    <w:p>
      <w:pPr>
        <w:spacing w:after="30" w:before="8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One-stop, ISBN-to-HKI service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Consolidating manuscript, ISBN registration, and copyright filing into a single engagement reduces friction competitors leave for authors to solve themselves.</w:t>
      </w:r>
    </w:p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06 — TRACTION &amp; FINANCIALS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Early-Stage, Operationally Active, Financials Available Under NDA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The division operates today inside a registered, ratified legal entity, with in-house access to the group's legal-services capability for copyright filings.</w:t>
      </w:r>
    </w:p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shd w:fill="0B1F3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Indicator</w:t>
            </w:r>
          </w:p>
        </w:tc>
        <w:tc>
          <w:tcPr>
            <w:shd w:fill="0B1F3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Current Status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Legal entity status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Active PT, fully registered since 2025 (AHU ratification on file)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Group structure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6 integrated, currently operating divisions under one holding entity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Financial history &amp; projections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Not disclosed in this document — available to qualified investors under NDA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Service scope live today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Editorial, proofreading, layout, cover design, ISBN registration, copyright (HKI) filing support</w:t>
            </w:r>
          </w:p>
        </w:tc>
      </w:tr>
    </w:tbl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50"/>
            <w:tcBorders>
              <w:top w:val="single" w:color="E6E6E3" w:sz="4"/>
              <w:left w:val="single" w:color="C8A24A" w:sz="24"/>
              <w:bottom w:val="single" w:color="E6E6E3" w:sz="4"/>
              <w:right w:val="single" w:color="E6E6E3" w:sz="4"/>
            </w:tcBorders>
            <w:shd w:fill="FBFBFA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Disclosure. </w:t>
            </w:r>
            <w:r>
              <w:rPr>
                <w:rFonts w:ascii="Arial" w:cs="Arial" w:eastAsia="Arial" w:hAnsi="Arial"/>
                <w:color w:val="3A3F47"/>
                <w:sz w:val="19"/>
                <w:szCs w:val="19"/>
              </w:rPr>
              <w:t xml:space="preserve">PT Legalku Multi Digital is a founder-operated group in an active growth phase. Historical revenue, user-growth, and forward-looking financial projections are intentionally not included in this public-facing deck; verified figures are shared with qualified investors under a non-disclosure agreement during due diligence. We would rather disclose less than present figures we cannot fully substantiate.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07 — SCALABILITY &amp; GROWTH STRATEGY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From Individual Authors to a National Institutional Publishing Network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Growth proceeds from editorial-quality strengthening, to distribution-network expansion, to a fully integrated publishing-and-IP ecosystem.</w:t>
      </w:r>
    </w:p>
    <w:p>
      <w:pPr>
        <w:spacing w:after="100"/>
      </w:pP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1. Years 1–2: Strengthen editorial quality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Deepen editorial, layout, and publishing-process quality for both ISBN-registered books and accredited scientific journals.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2. Years 3–5: Expand distribution network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Broaden distribution partnerships with more universities, authors, and research institutions across regions.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3. Year 5+: Integrated publishing ecosystem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Build a fully integrated publishing-and-IP ecosystem in partnership with the group's Legal Services division.</w:t>
      </w:r>
    </w:p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50"/>
            <w:tcBorders>
              <w:top w:val="single" w:color="E6E6E3" w:sz="4"/>
              <w:left w:val="single" w:color="C8A24A" w:sz="24"/>
              <w:bottom w:val="single" w:color="E6E6E3" w:sz="4"/>
              <w:right w:val="single" w:color="E6E6E3" w:sz="4"/>
            </w:tcBorders>
            <w:shd w:fill="FBFBFA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color w:val="3A3F47"/>
                <w:sz w:val="19"/>
                <w:szCs w:val="19"/>
              </w:rPr>
              <w:t xml:space="preserve">International framing.</w:t>
            </w:r>
            <w:r>
              <w:rPr>
                <w:rFonts w:ascii="Arial" w:cs="Arial" w:eastAsia="Arial" w:hAnsi="Arial"/>
                <w:color w:val="3A3F47"/>
                <w:sz w:val="19"/>
                <w:szCs w:val="19"/>
              </w:rPr>
              <w:t xml:space="preserve"> Near-term scale is national. Longer-term, Indonesian-language academic publishing has natural adjacency to the broader Southeast Asian and Indonesian-diaspora academic community — a directional opportunity for future exploration, not a committed expansion plan.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08 — LEGAL &amp; REGULATORY COMPLIANCE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Built on a Fully Licensed Legal Foundation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Publishing operations are conducted under a registered legal entity, in line with National Library of Indonesia (Perpustakaan Nasional RI) ISBN issuance requirements, with copyright (HKI) filing support available to every author.</w:t>
      </w:r>
    </w:p>
    <w:p>
      <w:pPr>
        <w:spacing w:after="100"/>
      </w:pP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Legal Entity: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PT (Perseroan Terbatas / Limited Liability Company), ratified under Deed No. AHU-0032243.AH.01.02.Tahun 2025.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Tax ID (NPWP):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1.000.0000.0187.7604 — registered taxpayer with the Indonesian Directorate General of Taxes.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Business ID (NIB):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2804250030574 — registered via Indonesia's national OSS (Online Single Submission) system.</w:t>
      </w:r>
    </w:p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50"/>
            <w:tcBorders>
              <w:top w:val="single" w:color="E6E6E3" w:sz="4"/>
              <w:left w:val="single" w:color="C8A24A" w:sz="24"/>
              <w:bottom w:val="single" w:color="E6E6E3" w:sz="4"/>
              <w:right w:val="single" w:color="E6E6E3" w:sz="4"/>
            </w:tcBorders>
            <w:shd w:fill="FBFBFA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color w:val="3A3F47"/>
                <w:sz w:val="19"/>
                <w:szCs w:val="19"/>
              </w:rPr>
              <w:t xml:space="preserve">Certified copies of the entity's incorporation documents are available for review during due diligence.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09 — CORE TEAM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Leadership Grounded in Legal &amp; Governance Expertise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Leadership combines legal qualification with governance and management oversight across the group's six divisions.</w:t>
      </w:r>
    </w:p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shd w:fill="0B1F3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Name &amp; Role</w:t>
            </w:r>
          </w:p>
        </w:tc>
        <w:tc>
          <w:tcPr>
            <w:shd w:fill="0B1F3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Background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HM. Asrori, S.H., M.H.
President Director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Bachelor of Laws (S.H.) and Master of Laws (M.H.). Leads overall group strategy and legal practice direction. Full CV available under due diligence.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Teguh Santoso, S.H., M.M.
Deputy Director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Bachelor of Laws (S.H.) and Master of Management (M.M.). Oversees operations and business management across the group's six divisions. Full CV available under due diligence.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Febryan Alam Susatyo, S.H., M.H.
Commissioner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Bachelor of Laws (S.H.) and Master of Laws (M.H.). Provides governance oversight of legal and corporate affairs. Full CV available under due diligence.</w:t>
            </w:r>
          </w:p>
        </w:tc>
      </w:tr>
    </w:tbl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50"/>
            <w:tcBorders>
              <w:top w:val="single" w:color="E6E6E3" w:sz="4"/>
              <w:left w:val="single" w:color="C8A24A" w:sz="24"/>
              <w:bottom w:val="single" w:color="E6E6E3" w:sz="4"/>
              <w:right w:val="single" w:color="E6E6E3" w:sz="4"/>
            </w:tcBorders>
            <w:shd w:fill="FBFBFA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color w:val="3A3F47"/>
                <w:sz w:val="19"/>
                <w:szCs w:val="19"/>
              </w:rPr>
              <w:t xml:space="preserve">Detailed track records, references, and full professional CVs for the leadership team are shared directly with qualified investors during the due-diligence stage.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LET'S BUILD THIS TOGETHER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Publish Indonesia's Next Generation of Authors and Researchers With Us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We welcome conversations with investors and strategic partners who see the opportunity in a large, sustained, and under-professionalized publishing market. Full financials and team CVs are available under NDA.</w:t>
      </w:r>
    </w:p>
    <w:p>
      <w:pPr>
        <w:spacing w:after="200"/>
      </w:pPr>
    </w:p>
    <w:p>
      <w:pPr>
        <w:spacing w:after="60"/>
      </w:pPr>
      <w:r>
        <w:rPr>
          <w:rFonts w:ascii="Arial" w:cs="Arial" w:eastAsia="Arial" w:hAnsi="Arial"/>
          <w:b/>
          <w:bCs/>
          <w:color w:val="0B1F3A"/>
          <w:sz w:val="20"/>
          <w:szCs w:val="20"/>
        </w:rPr>
        <w:t xml:space="preserve">WhatsApp: </w:t>
      </w:r>
      <w:r>
        <w:rPr>
          <w:rFonts w:ascii="Arial" w:cs="Arial" w:eastAsia="Arial" w:hAnsi="Arial"/>
          <w:sz w:val="20"/>
          <w:szCs w:val="20"/>
        </w:rPr>
        <w:t xml:space="preserve">0811-2696-066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0B1F3A"/>
          <w:sz w:val="20"/>
          <w:szCs w:val="20"/>
        </w:rPr>
        <w:t xml:space="preserve">Email: </w:t>
      </w:r>
      <w:r>
        <w:rPr>
          <w:rFonts w:ascii="Arial" w:cs="Arial" w:eastAsia="Arial" w:hAnsi="Arial"/>
          <w:sz w:val="20"/>
          <w:szCs w:val="20"/>
        </w:rPr>
        <w:t xml:space="preserve">adm@legalku.co.id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0B1F3A"/>
          <w:sz w:val="20"/>
          <w:szCs w:val="20"/>
        </w:rPr>
        <w:t xml:space="preserve">Website: </w:t>
      </w:r>
      <w:r>
        <w:rPr>
          <w:rFonts w:ascii="Arial" w:cs="Arial" w:eastAsia="Arial" w:hAnsi="Arial"/>
          <w:sz w:val="20"/>
          <w:szCs w:val="20"/>
        </w:rPr>
        <w:t xml:space="preserve">www.legalku.org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0B1F3A"/>
          <w:sz w:val="20"/>
          <w:szCs w:val="20"/>
        </w:rPr>
        <w:t xml:space="preserve">Office: </w:t>
      </w:r>
      <w:r>
        <w:rPr>
          <w:rFonts w:ascii="Arial" w:cs="Arial" w:eastAsia="Arial" w:hAnsi="Arial"/>
          <w:sz w:val="20"/>
          <w:szCs w:val="20"/>
        </w:rPr>
        <w:t xml:space="preserve">Jl. Taman Flamboyan Raya No. 26, Pedurungan Lor, Semarang, Indonesia</w:t>
      </w:r>
    </w:p>
    <w:sectPr>
      <w:headerReference w:type="default" r:id="rId7"/>
      <w:footerReference w:type="default" r:id="rId8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6E3" w:sz="4" w:space="4"/>
      </w:pBdr>
      <w:jc w:val="center"/>
    </w:pPr>
    <w:r>
      <w:rPr>
        <w:rFonts w:ascii="Arial" w:cs="Arial" w:eastAsia="Arial" w:hAnsi="Arial"/>
        <w:color w:val="9AA5B5"/>
        <w:sz w:val="14"/>
        <w:szCs w:val="14"/>
      </w:rPr>
      <w:t xml:space="preserve">© 2026 PT Legalku Multi Digital · Page </w:t>
    </w:r>
    <w:r>
      <w:rPr>
        <w:rFonts w:ascii="Arial" w:cs="Arial" w:eastAsia="Arial" w:hAnsi="Arial"/>
        <w:color w:val="9AA5B5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9AA5B5"/>
        <w:sz w:val="14"/>
        <w:szCs w:val="14"/>
      </w:rPr>
      <w:t xml:space="preserve"> of </w:t>
    </w:r>
    <w:r>
      <w:rPr>
        <w:rFonts w:ascii="Arial" w:cs="Arial" w:eastAsia="Arial" w:hAnsi="Arial"/>
        <w:color w:val="9AA5B5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6E6E3" w:sz="4" w:space="4"/>
      </w:pBdr>
      <w:jc w:val="right"/>
    </w:pPr>
    <w:r>
      <w:rPr>
        <w:rFonts w:ascii="Arial" w:cs="Arial" w:eastAsia="Arial" w:hAnsi="Arial"/>
        <w:color w:val="9AA5B5"/>
        <w:sz w:val="14"/>
        <w:szCs w:val="14"/>
      </w:rPr>
      <w:t xml:space="preserve">PT LEGALKU MULTI DIGITAL · INVESTOR PITCH DECK — BOOK &amp; JOURNAL PUBLISHING DIVISION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0316c3375e07790a6ec8503c500827fb9abfa22a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Legalku Publishing — Investor Pitch Deck</dc:title>
  <dc:subject>Investor Pitch Deck — Book &amp; Journal Publishing Division, PT Legalku Multi Digital, Semarang, Indonesia.</dc:subject>
  <dc:creator>PT Legalku Multi Digital</dc:creator>
  <cp:keywords>investor pitch deck, Legalku Publishing, PT Legalku Multi Digital, Indonesia investment opportunity, Semarang business partnership</cp:keywords>
  <dc:description>Investor Pitch Deck — Book &amp; Journal Publishing Division, PT Legalku Multi Digital, Semarang, Indonesia.</dc:description>
  <cp:lastModifiedBy>PT Legalku Multi Digital</cp:lastModifiedBy>
  <cp:revision>1</cp:revision>
  <dcterms:created xsi:type="dcterms:W3CDTF">2026-09-03T03:33:16.930Z</dcterms:created>
  <dcterms:modified xsi:type="dcterms:W3CDTF">2026-09-03T03:33:16.930Z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