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200"/>
            </w:pPr>
            <w:r>
              <w:rPr>
                <w:rFonts w:ascii="Arial" w:cs="Arial" w:eastAsia="Arial" w:hAnsi="Arial"/>
                <w:b/>
                <w:bCs/>
                <w:color w:val="FFFFFF"/>
                <w:sz w:val="20"/>
                <w:szCs w:val="20"/>
              </w:rPr>
              <w:t xml:space="preserve">PT LEGALKU MULTI DIGITAL</w:t>
            </w:r>
          </w:p>
          <w:p>
            <w:pPr>
              <w:spacing w:after="3000"/>
            </w:pPr>
            <w:r>
              <w:rPr>
                <w:rFonts w:ascii="Arial" w:cs="Arial" w:eastAsia="Arial" w:hAnsi="Arial"/>
                <w:color w:val="9FB0CC"/>
                <w:sz w:val="17"/>
                <w:szCs w:val="17"/>
              </w:rPr>
              <w:t xml:space="preserve">Investor Pitch Deck  ·  September 2026</w:t>
            </w:r>
          </w:p>
          <w:p>
            <w:pPr>
              <w:spacing w:after="220"/>
            </w:pPr>
            <w:r>
              <w:rPr>
                <w:rFonts w:ascii="Arial" w:cs="Arial" w:eastAsia="Arial" w:hAnsi="Arial"/>
                <w:b/>
                <w:bCs/>
                <w:color w:val="F0D9A0"/>
                <w:sz w:val="16"/>
                <w:szCs w:val="16"/>
                <w:shd w:fill="1E3A63" w:val="clear"/>
              </w:rPr>
              <w:t xml:space="preserve">  KOREAN &amp; JAPANESE LANGUAGE TRAINING AND OVERSEAS-PLACEMENT DIVISION  </w:t>
            </w:r>
          </w:p>
          <w:p>
            <w:pPr>
              <w:spacing w:after="140" w:before="60"/>
            </w:pPr>
            <w:r>
              <w:rPr>
                <w:rFonts w:ascii="Arial" w:cs="Arial" w:eastAsia="Arial" w:hAnsi="Arial"/>
                <w:b/>
                <w:bCs/>
                <w:color w:val="FFFFFF"/>
                <w:sz w:val="58"/>
                <w:szCs w:val="58"/>
              </w:rPr>
              <w:t xml:space="preserve">Pendidikan Bahasa Korea &amp; Jepang (LPK Hanggugo Indonesia)</w:t>
            </w:r>
          </w:p>
          <w:p>
            <w:pPr>
              <w:spacing w:after="200"/>
            </w:pPr>
            <w:r>
              <w:rPr>
                <w:rFonts w:ascii="Arial" w:cs="Arial" w:eastAsia="Arial" w:hAnsi="Arial"/>
                <w:i/>
                <w:iCs/>
                <w:color w:val="DBE4F0"/>
                <w:sz w:val="24"/>
                <w:szCs w:val="24"/>
              </w:rPr>
              <w:t xml:space="preserve">Language training and government-authorized placement pathways into South Korea's G to G worker program and Japan's internship (Magang) program.</w:t>
            </w:r>
          </w:p>
          <w:p>
            <w:pPr>
              <w:pBdr>
                <w:top w:val="single" w:color="C8A24A" w:sz="12" w:space="1"/>
              </w:pBdr>
              <w:spacing w:after="3400"/>
              <w:ind w:right="8000"/>
            </w:pPr>
            <w:r>
              <w:rPr>
                <w:sz w:val="2"/>
                <w:szCs w:val="2"/>
              </w:rPr>
              <w:t xml:space="preserve"/>
            </w:r>
          </w:p>
          <w:p>
            <w:pPr>
              <w:pBdr>
                <w:top w:val="single" w:color="3E5B8A" w:sz="4"/>
              </w:pBdr>
              <w:spacing w:after="90"/>
            </w:pPr>
            <w:r>
              <w:rPr>
                <w:rFonts w:ascii="Arial" w:cs="Arial" w:eastAsia="Arial" w:hAnsi="Arial"/>
                <w:b/>
                <w:bCs/>
                <w:color w:val="8FA0BD"/>
                <w:sz w:val="15"/>
                <w:szCs w:val="15"/>
              </w:rPr>
              <w:t xml:space="preserve">HEADQUARTERS   </w:t>
            </w:r>
            <w:r>
              <w:rPr>
                <w:rFonts w:ascii="Arial" w:cs="Arial" w:eastAsia="Arial" w:hAnsi="Arial"/>
                <w:b/>
                <w:bCs/>
                <w:color w:val="FFFFFF"/>
                <w:sz w:val="18"/>
                <w:szCs w:val="18"/>
              </w:rPr>
              <w:t xml:space="preserve">Semarang, Central Java, Indonesia</w:t>
            </w:r>
          </w:p>
          <w:p>
            <w:pPr>
              <w:spacing w:after="220"/>
            </w:pPr>
            <w:r>
              <w:rPr>
                <w:rFonts w:ascii="Arial" w:cs="Arial" w:eastAsia="Arial" w:hAnsi="Arial"/>
                <w:b/>
                <w:bCs/>
                <w:color w:val="8FA0BD"/>
                <w:sz w:val="15"/>
                <w:szCs w:val="15"/>
              </w:rPr>
              <w:t xml:space="preserve">PREPARED FOR   </w:t>
            </w:r>
            <w:r>
              <w:rPr>
                <w:rFonts w:ascii="Arial" w:cs="Arial" w:eastAsia="Arial" w:hAnsi="Arial"/>
                <w:b/>
                <w:bCs/>
                <w:color w:val="FFFFFF"/>
                <w:sz w:val="18"/>
                <w:szCs w:val="18"/>
              </w:rPr>
              <w:t xml:space="preserve">Prospective Investors &amp; Strategic Partners</w:t>
            </w:r>
          </w:p>
          <w:p>
            <w:r>
              <w:rPr>
                <w:rFonts w:ascii="Arial" w:cs="Arial" w:eastAsia="Arial" w:hAnsi="Arial"/>
                <w:i/>
                <w:iCs/>
                <w:color w:val="9FB0CC"/>
                <w:sz w:val="16"/>
                <w:szCs w:val="16"/>
              </w:rPr>
              <w:t xml:space="preserve">This document is confidential and intended solely for the named recipient to evaluate a potential investment or partnership with PT Legalku Multi Digital.</w:t>
            </w:r>
          </w:p>
        </w:tc>
      </w:tr>
    </w:tbl>
    <w:p>
      <w:pPr>
        <w:sectPr>
          <w:pgSz w:w="11906" w:h="16838" w:orient="portrait"/>
          <w:pgMar w:top="0" w:right="0" w:bottom="0" w:left="0" w:header="708" w:footer="708" w:gutter="0"/>
          <w:pgNumType/>
          <w:docGrid w:linePitch="360"/>
        </w:sectPr>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Legal, Government-Track On-Ramp Into Two of Asia's Largest Structural Labor Shortages</w:t>
      </w:r>
    </w:p>
    <w:p>
      <w:pPr>
        <w:spacing w:after="160"/>
      </w:pPr>
      <w:r>
        <w:rPr>
          <w:rFonts w:ascii="Arial" w:cs="Arial" w:eastAsia="Arial" w:hAnsi="Arial"/>
          <w:color w:val="3A3F47"/>
          <w:sz w:val="21"/>
          <w:szCs w:val="21"/>
        </w:rPr>
        <w:t xml:space="preserve">Operating under the brand LPK Hanggugo Indonesia (lpkhanggugo.com), this division delivers Korean- and Japanese-language training and prepares candidates for two officially sanctioned overseas placement pathways: South Korea's G to G (Government to Government) worker program, run jointly by Indonesia's BP2MI and South Korea's HRD Korea/MOEL, and Japan's technical internship (Magang) program — both fully legal, quota-based, and free of the unlicensed brokers common in this sector.</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3A3F47"/>
                <w:sz w:val="16"/>
                <w:szCs w:val="16"/>
              </w:rPr>
              <w:t xml:space="preserve">Indonesia's South Korea G to G worker quota for 2026 (1,000 manufacturing + 1,000 fisheries)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≈639,000 / yr</w:t>
            </w:r>
          </w:p>
          <w:p>
            <w:r>
              <w:rPr>
                <w:rFonts w:ascii="Arial" w:cs="Arial" w:eastAsia="Arial" w:hAnsi="Arial"/>
                <w:color w:val="3A3F47"/>
                <w:sz w:val="16"/>
                <w:szCs w:val="16"/>
              </w:rPr>
              <w:t xml:space="preserve">Japan's estimated annual foreign-worker need across sectors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 / yr</w:t>
            </w:r>
          </w:p>
          <w:p>
            <w:r>
              <w:rPr>
                <w:rFonts w:ascii="Arial" w:cs="Arial" w:eastAsia="Arial" w:hAnsi="Arial"/>
                <w:color w:val="3A3F47"/>
                <w:sz w:val="16"/>
                <w:szCs w:val="16"/>
              </w:rPr>
              <w:t xml:space="preserve">Illustrative Indonesia share at a 10% fill rate of Japan's annual need</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Language training plus a compliant placement pathway.</w:t>
      </w:r>
      <w:r>
        <w:rPr>
          <w:rFonts w:ascii="Arial" w:cs="Arial" w:eastAsia="Arial" w:hAnsi="Arial"/>
          <w:color w:val="3A3F47"/>
          <w:sz w:val="21"/>
          <w:szCs w:val="21"/>
        </w:rPr>
        <w:t xml:space="preserve"> Korean- and Japanese-language courses, EPS-TOPIK exam preparation, and full administrative support through Indonesia's official G to G (Korea) and Magang (Japan) government placement schemes.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Quota-based government demand, not open-ended promises.</w:t>
      </w:r>
      <w:r>
        <w:rPr>
          <w:rFonts w:ascii="Arial" w:cs="Arial" w:eastAsia="Arial" w:hAnsi="Arial"/>
          <w:color w:val="3A3F47"/>
          <w:sz w:val="21"/>
          <w:szCs w:val="21"/>
        </w:rPr>
        <w:t xml:space="preserve"> Both destination countries publish fixed, government-negotiated annual worker quotas — a rare case of overseas-work demand that is officially quantified rather than informally estimated.</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Real, Government-Quota Demand for Overseas Workers — Undercut by Illegal Brokers and Language Barriers</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Legal placement quotas go unfilled without language-ready, properly prepared candidates.</w:t>
      </w:r>
      <w:r>
        <w:rPr>
          <w:rFonts w:ascii="Arial" w:cs="Arial" w:eastAsia="Arial" w:hAnsi="Arial"/>
          <w:color w:val="3A3F47"/>
          <w:sz w:val="21"/>
          <w:szCs w:val="21"/>
        </w:rPr>
        <w:t xml:space="preserve"> South Korea's G to G program and Japan's Magang program each require candidates to pass language and skills examinations (notably EPS-TOPIK for Korea) before they can be placed — and Indonesia's overseas-labor sector is also long troubled by unlicensed brokers ('calo') charging undisclosed fees for unauthorized, unsafe placements.</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Government-track training and placement support, with transparent costs.</w:t>
      </w:r>
      <w:r>
        <w:rPr>
          <w:rFonts w:ascii="Arial" w:cs="Arial" w:eastAsia="Arial" w:hAnsi="Arial"/>
          <w:color w:val="3A3F47"/>
          <w:sz w:val="21"/>
          <w:szCs w:val="21"/>
        </w:rPr>
        <w:t xml:space="preserve"> LPK Hanggugo Indonesia prepares candidates specifically for the official BP2MI/HRD Korea G to G exam and placement process and Japan's Magang interview and training process, with published, staged fee estimates and no wage-deduction or upfront-loan financing schemes.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national G to G worker quota to South Korea for 2026 is set at 2,000 placements (1,000 in manufacturing, 1,000 in fisheries), per Indonesia's Ministry of Migrant Worker Protection (Kementerian P2MI/KP2MI), reported by Kompas TV (2026). Separately, Indonesia's Minister of Migrant Worker Protection has cited Japan's estimated need for roughly 639,000 foreign workers per year across sectors, with an illustrative Indonesian capture potential of around 63,000 workers per year at a 10% fill rate (Antara News, 2026, citing Minister Abdul Kadir Karding).</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Government-Quantified Placement Market, With Room to Grow Regional Training Capacity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≈639,000 workers / year</w:t>
            </w:r>
            <w:r>
              <w:rPr>
                <w:rFonts w:ascii="Arial" w:cs="Arial" w:eastAsia="Arial" w:hAnsi="Arial"/>
                <w:b w:val="false"/>
                <w:bCs w:val="false"/>
                <w:color w:val="3A3F47"/>
                <w:sz w:val="19"/>
                <w:szCs w:val="19"/>
              </w:rPr>
              <w:t xml:space="preserve"> — Japan's estimated annual cross-sector foreign-worker need, as cited by Indonesia's Minister of Migrant Worker Protection (Antara News, 2026) — plus South Korea's separate, smaller annual G to G quota.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≈63,000 workers / year (Japan) + 2,000 workers / year (Korea G to G)</w:t>
            </w:r>
            <w:r>
              <w:rPr>
                <w:rFonts w:ascii="Arial" w:cs="Arial" w:eastAsia="Arial" w:hAnsi="Arial"/>
                <w:b w:val="false"/>
                <w:bCs w:val="false"/>
                <w:color w:val="3A3F47"/>
                <w:sz w:val="19"/>
                <w:szCs w:val="19"/>
              </w:rPr>
              <w:t xml:space="preserve"> — Indonesia's illustrative national capture potential for Japan at a 10% fill rate, plus Indonesia's full national 2026 Korea G to G quota (1,000 manufacturing + 1,000 fisheries) — the portion of total demand realistically allocated to Indonesian candidates nationally.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Tens to low hundreds of candidates / year (target)</w:t>
            </w:r>
            <w:r>
              <w:rPr>
                <w:rFonts w:ascii="Arial" w:cs="Arial" w:eastAsia="Arial" w:hAnsi="Arial"/>
                <w:b w:val="false"/>
                <w:bCs w:val="false"/>
                <w:color w:val="3A3F47"/>
                <w:sz w:val="19"/>
                <w:szCs w:val="19"/>
              </w:rPr>
              <w:t xml:space="preserve"> — Internal planning target for candidates trained and successfully placed through this division's own classes and administrative support, as a small fraction of Indonesia's national SAM allocation.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TAM/SAM figures are drawn directly from government-sourced statistics: Indonesia's 2026 Korea G to G quota (Kementerian P2MI/KP2MI, via Kompas TV, 2026) and Japan's cross-sector foreign-worker need and illustrative 10%-fill-rate estimate for Indonesia (Minister Abdul Kadir Karding, via Antara News, 2026). SOM is management's own illustrative planning target, not an audited projection, and is not sized against a figure this division controls or guarantees.</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Fee-for-Training-and-Placement-Support, Staged Across the Candidate Journey</w:t>
      </w:r>
    </w:p>
    <w:p>
      <w:pPr>
        <w:spacing w:after="160"/>
      </w:pPr>
      <w:r>
        <w:rPr>
          <w:rFonts w:ascii="Arial" w:cs="Arial" w:eastAsia="Arial" w:hAnsi="Arial"/>
          <w:color w:val="3A3F47"/>
          <w:sz w:val="21"/>
          <w:szCs w:val="21"/>
        </w:rPr>
        <w:t xml:space="preserve">Revenue is generated from language-course tuition and staged administrative/placement-support fees, paid progressively as a candidate advances through the official government placement process — never as a single upfront sum or wage deduction.</w:t>
      </w:r>
    </w:p>
    <w:p>
      <w:pPr>
        <w:spacing w:after="100"/>
      </w:pPr>
    </w:p>
    <w:p>
      <w:pPr>
        <w:spacing w:after="40" w:before="100"/>
      </w:pPr>
      <w:r>
        <w:rPr>
          <w:rFonts w:ascii="Arial" w:cs="Arial" w:eastAsia="Arial" w:hAnsi="Arial"/>
          <w:b/>
          <w:bCs/>
          <w:color w:val="0B1F3A"/>
          <w:sz w:val="22"/>
          <w:szCs w:val="22"/>
        </w:rPr>
        <w:t xml:space="preserve">1. Enrollment &amp; language training</w:t>
      </w:r>
    </w:p>
    <w:p>
      <w:pPr>
        <w:spacing w:after="160"/>
      </w:pPr>
      <w:r>
        <w:rPr>
          <w:rFonts w:ascii="Arial" w:cs="Arial" w:eastAsia="Arial" w:hAnsi="Arial"/>
          <w:color w:val="3A3F47"/>
          <w:sz w:val="21"/>
          <w:szCs w:val="21"/>
        </w:rPr>
        <w:t xml:space="preserve">Candidates enroll in an approximately 3-month intensive Korean- or Japanese-language course, including EPS-TOPIK exam preparation for the Korea track.</w:t>
      </w:r>
    </w:p>
    <w:p>
      <w:pPr>
        <w:spacing w:after="40" w:before="100"/>
      </w:pPr>
      <w:r>
        <w:rPr>
          <w:rFonts w:ascii="Arial" w:cs="Arial" w:eastAsia="Arial" w:hAnsi="Arial"/>
          <w:b/>
          <w:bCs/>
          <w:color w:val="0B1F3A"/>
          <w:sz w:val="22"/>
          <w:szCs w:val="22"/>
        </w:rPr>
        <w:t xml:space="preserve">2. Exam &amp; skills-test support</w:t>
      </w:r>
    </w:p>
    <w:p>
      <w:pPr>
        <w:spacing w:after="160"/>
      </w:pPr>
      <w:r>
        <w:rPr>
          <w:rFonts w:ascii="Arial" w:cs="Arial" w:eastAsia="Arial" w:hAnsi="Arial"/>
          <w:color w:val="3A3F47"/>
          <w:sz w:val="21"/>
          <w:szCs w:val="21"/>
        </w:rPr>
        <w:t xml:space="preserve">Candidates are supported through the official EPS-TOPIK exam (Korea) or company-interview and skills assessment (Japan).</w:t>
      </w:r>
    </w:p>
    <w:p>
      <w:pPr>
        <w:spacing w:after="40" w:before="100"/>
      </w:pPr>
      <w:r>
        <w:rPr>
          <w:rFonts w:ascii="Arial" w:cs="Arial" w:eastAsia="Arial" w:hAnsi="Arial"/>
          <w:b/>
          <w:bCs/>
          <w:color w:val="0B1F3A"/>
          <w:sz w:val="22"/>
          <w:szCs w:val="22"/>
        </w:rPr>
        <w:t xml:space="preserve">3. Administrative processing</w:t>
      </w:r>
    </w:p>
    <w:p>
      <w:pPr>
        <w:spacing w:after="160"/>
      </w:pPr>
      <w:r>
        <w:rPr>
          <w:rFonts w:ascii="Arial" w:cs="Arial" w:eastAsia="Arial" w:hAnsi="Arial"/>
          <w:color w:val="3A3F47"/>
          <w:sz w:val="21"/>
          <w:szCs w:val="21"/>
        </w:rPr>
        <w:t xml:space="preserve">Passport, medical check-up (MCU), and BP2MI/HRD Korea or Japan-side administrative documentation are managed on the candidate's behalf, at staged, disclosed fee estimates.</w:t>
      </w:r>
    </w:p>
    <w:p>
      <w:pPr>
        <w:spacing w:after="40" w:before="100"/>
      </w:pPr>
      <w:r>
        <w:rPr>
          <w:rFonts w:ascii="Arial" w:cs="Arial" w:eastAsia="Arial" w:hAnsi="Arial"/>
          <w:b/>
          <w:bCs/>
          <w:color w:val="0B1F3A"/>
          <w:sz w:val="22"/>
          <w:szCs w:val="22"/>
        </w:rPr>
        <w:t xml:space="preserve">4. Placement &amp; departure</w:t>
      </w:r>
    </w:p>
    <w:p>
      <w:pPr>
        <w:spacing w:after="160"/>
      </w:pPr>
      <w:r>
        <w:rPr>
          <w:rFonts w:ascii="Arial" w:cs="Arial" w:eastAsia="Arial" w:hAnsi="Arial"/>
          <w:color w:val="3A3F47"/>
          <w:sz w:val="21"/>
          <w:szCs w:val="21"/>
        </w:rPr>
        <w:t xml:space="preserve">Successful candidates are placed through the official G to G (Korea) or Magang (Japan) government channel, with ticketing, visa, and insurance arranged via BP2MI.</w:t>
      </w:r>
    </w:p>
    <w:p>
      <w:pPr>
        <w:spacing w:after="40" w:before="100"/>
      </w:pPr>
      <w:r>
        <w:rPr>
          <w:rFonts w:ascii="Arial" w:cs="Arial" w:eastAsia="Arial" w:hAnsi="Arial"/>
          <w:b/>
          <w:bCs/>
          <w:color w:val="0B1F3A"/>
          <w:sz w:val="22"/>
          <w:szCs w:val="22"/>
        </w:rPr>
        <w:t xml:space="preserve">5. Alumni referral network</w:t>
      </w:r>
    </w:p>
    <w:p>
      <w:pPr>
        <w:spacing w:after="160"/>
      </w:pPr>
      <w:r>
        <w:rPr>
          <w:rFonts w:ascii="Arial" w:cs="Arial" w:eastAsia="Arial" w:hAnsi="Arial"/>
          <w:color w:val="3A3F47"/>
          <w:sz w:val="21"/>
          <w:szCs w:val="21"/>
        </w:rPr>
        <w:t xml:space="preserve">Placed candidates and their families are a natural source of referral-driven enrollment for future training cohorts.</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Defensibility comes from operating strictly inside the two countries' official government channels, plus integration with the group's existing legal and licensing infrastructure.</w:t>
      </w:r>
    </w:p>
    <w:p>
      <w:pPr>
        <w:spacing w:after="100"/>
      </w:pPr>
    </w:p>
    <w:p>
      <w:pPr>
        <w:spacing w:after="30" w:before="80"/>
      </w:pPr>
      <w:r>
        <w:rPr>
          <w:rFonts w:ascii="Arial" w:cs="Arial" w:eastAsia="Arial" w:hAnsi="Arial"/>
          <w:b/>
          <w:bCs/>
          <w:color w:val="0B1F3A"/>
          <w:sz w:val="21"/>
          <w:szCs w:val="21"/>
        </w:rPr>
        <w:t xml:space="preserve">Government-channel-only positioning</w:t>
      </w:r>
    </w:p>
    <w:p>
      <w:pPr>
        <w:spacing w:after="160"/>
      </w:pPr>
      <w:r>
        <w:rPr>
          <w:rFonts w:ascii="Arial" w:cs="Arial" w:eastAsia="Arial" w:hAnsi="Arial"/>
          <w:color w:val="3A3F47"/>
          <w:sz w:val="21"/>
          <w:szCs w:val="21"/>
        </w:rPr>
        <w:t xml:space="preserve">Operating exclusively through BP2MI/HRD Korea's G to G scheme and Japan's official Magang program — rather than informal broker networks — is a credibility differentiator in a sector where illegal placement is a well-documented risk.</w:t>
      </w:r>
    </w:p>
    <w:p>
      <w:pPr>
        <w:spacing w:after="30" w:before="80"/>
      </w:pPr>
      <w:r>
        <w:rPr>
          <w:rFonts w:ascii="Arial" w:cs="Arial" w:eastAsia="Arial" w:hAnsi="Arial"/>
          <w:b/>
          <w:bCs/>
          <w:color w:val="0B1F3A"/>
          <w:sz w:val="21"/>
          <w:szCs w:val="21"/>
        </w:rPr>
        <w:t xml:space="preserve">Backed by an integrated legal group</w:t>
      </w:r>
    </w:p>
    <w:p>
      <w:pPr>
        <w:spacing w:after="160"/>
      </w:pPr>
      <w:r>
        <w:rPr>
          <w:rFonts w:ascii="Arial" w:cs="Arial" w:eastAsia="Arial" w:hAnsi="Arial"/>
          <w:color w:val="3A3F47"/>
          <w:sz w:val="21"/>
          <w:szCs w:val="21"/>
        </w:rPr>
        <w:t xml:space="preserve">Part of a six-division ecosystem with in-house legal and licensing expertise, able to support candidates and their families through the legal and contractual dimensions of overseas placement.</w:t>
      </w:r>
    </w:p>
    <w:p>
      <w:pPr>
        <w:spacing w:after="30" w:before="80"/>
      </w:pPr>
      <w:r>
        <w:rPr>
          <w:rFonts w:ascii="Arial" w:cs="Arial" w:eastAsia="Arial" w:hAnsi="Arial"/>
          <w:b/>
          <w:bCs/>
          <w:color w:val="0B1F3A"/>
          <w:sz w:val="21"/>
          <w:szCs w:val="21"/>
        </w:rPr>
        <w:t xml:space="preserve">Dual-country, dual-language offering</w:t>
      </w:r>
    </w:p>
    <w:p>
      <w:pPr>
        <w:spacing w:after="160"/>
      </w:pPr>
      <w:r>
        <w:rPr>
          <w:rFonts w:ascii="Arial" w:cs="Arial" w:eastAsia="Arial" w:hAnsi="Arial"/>
          <w:color w:val="3A3F47"/>
          <w:sz w:val="21"/>
          <w:szCs w:val="21"/>
        </w:rPr>
        <w:t xml:space="preserve">Running both Korean and Japanese tracks under one institution diversifies placement-quota risk across two separate government programs and national labor markets.</w:t>
      </w:r>
    </w:p>
    <w:p>
      <w:pPr>
        <w:spacing w:after="30" w:before="80"/>
      </w:pPr>
      <w:r>
        <w:rPr>
          <w:rFonts w:ascii="Arial" w:cs="Arial" w:eastAsia="Arial" w:hAnsi="Arial"/>
          <w:b/>
          <w:bCs/>
          <w:color w:val="0B1F3A"/>
          <w:sz w:val="21"/>
          <w:szCs w:val="21"/>
        </w:rPr>
        <w:t xml:space="preserve">Transparent, staged, disclosed pricing</w:t>
      </w:r>
    </w:p>
    <w:p>
      <w:pPr>
        <w:spacing w:after="160"/>
      </w:pPr>
      <w:r>
        <w:rPr>
          <w:rFonts w:ascii="Arial" w:cs="Arial" w:eastAsia="Arial" w:hAnsi="Arial"/>
          <w:color w:val="3A3F47"/>
          <w:sz w:val="21"/>
          <w:szCs w:val="21"/>
        </w:rPr>
        <w:t xml:space="preserve">Publishing fee estimates by stage — with no wage deduction and no upfront-loan financing — builds trust in a segment frequently associated with opaque or exploitative broker fees.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Operationally Active as LPK Hanggugo Indonesia, Financials Available Under NDA</w:t>
      </w:r>
    </w:p>
    <w:p>
      <w:pPr>
        <w:spacing w:after="160"/>
      </w:pPr>
      <w:r>
        <w:rPr>
          <w:rFonts w:ascii="Arial" w:cs="Arial" w:eastAsia="Arial" w:hAnsi="Arial"/>
          <w:color w:val="3A3F47"/>
          <w:sz w:val="21"/>
          <w:szCs w:val="21"/>
        </w:rPr>
        <w:t xml:space="preserve">The division operates today as LPK Hanggugo Indonesia (lpkhanggugo.com), running active language classes and candidate preparation for both the Korea G to G and Japan Magang pathways.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Operating brand</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LPK Hanggugo Indonesia — active language-training institution (lpkhanggugo.com), based in Batang, Central Java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Programs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Korean-language course, Korea G to G placement preparation, Japanese-language course, Japan Magang placement preparation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Enrollment &amp; placement volumes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 Central Java Training Institution to a Multi-Region Placement Partner</w:t>
      </w:r>
    </w:p>
    <w:p>
      <w:pPr>
        <w:spacing w:after="160"/>
      </w:pPr>
      <w:r>
        <w:rPr>
          <w:rFonts w:ascii="Arial" w:cs="Arial" w:eastAsia="Arial" w:hAnsi="Arial"/>
          <w:color w:val="3A3F47"/>
          <w:sz w:val="21"/>
          <w:szCs w:val="21"/>
        </w:rPr>
        <w:t xml:space="preserve">Growth proceeds from strengthening training-and-exam pass rates, to expanding placement quota capture, to building a recognized alumni network.</w:t>
      </w:r>
    </w:p>
    <w:p>
      <w:pPr>
        <w:spacing w:after="100"/>
      </w:pPr>
    </w:p>
    <w:p>
      <w:pPr>
        <w:spacing w:after="40" w:before="100"/>
      </w:pPr>
      <w:r>
        <w:rPr>
          <w:rFonts w:ascii="Arial" w:cs="Arial" w:eastAsia="Arial" w:hAnsi="Arial"/>
          <w:b/>
          <w:bCs/>
          <w:color w:val="0B1F3A"/>
          <w:sz w:val="22"/>
          <w:szCs w:val="22"/>
        </w:rPr>
        <w:t xml:space="preserve">1. Years 1–2: Strengthen training capacity</w:t>
      </w:r>
    </w:p>
    <w:p>
      <w:pPr>
        <w:spacing w:after="160"/>
      </w:pPr>
      <w:r>
        <w:rPr>
          <w:rFonts w:ascii="Arial" w:cs="Arial" w:eastAsia="Arial" w:hAnsi="Arial"/>
          <w:color w:val="3A3F47"/>
          <w:sz w:val="21"/>
          <w:szCs w:val="21"/>
        </w:rPr>
        <w:t xml:space="preserve">Improve class capacity, instructor quality, and EPS-TOPIK exam and Magang interview pass rates.</w:t>
      </w:r>
    </w:p>
    <w:p>
      <w:pPr>
        <w:spacing w:after="40" w:before="100"/>
      </w:pPr>
      <w:r>
        <w:rPr>
          <w:rFonts w:ascii="Arial" w:cs="Arial" w:eastAsia="Arial" w:hAnsi="Arial"/>
          <w:b/>
          <w:bCs/>
          <w:color w:val="0B1F3A"/>
          <w:sz w:val="22"/>
          <w:szCs w:val="22"/>
        </w:rPr>
        <w:t xml:space="preserve">2. Years 3–5: Expand quota capture &amp; sectors</w:t>
      </w:r>
    </w:p>
    <w:p>
      <w:pPr>
        <w:spacing w:after="160"/>
      </w:pPr>
      <w:r>
        <w:rPr>
          <w:rFonts w:ascii="Arial" w:cs="Arial" w:eastAsia="Arial" w:hAnsi="Arial"/>
          <w:color w:val="3A3F47"/>
          <w:sz w:val="21"/>
          <w:szCs w:val="21"/>
        </w:rPr>
        <w:t xml:space="preserve">Grow the number of candidates successfully placed and explore additional sectors within Korea's and Japan's official worker programs.</w:t>
      </w:r>
    </w:p>
    <w:p>
      <w:pPr>
        <w:spacing w:after="40" w:before="100"/>
      </w:pPr>
      <w:r>
        <w:rPr>
          <w:rFonts w:ascii="Arial" w:cs="Arial" w:eastAsia="Arial" w:hAnsi="Arial"/>
          <w:b/>
          <w:bCs/>
          <w:color w:val="0B1F3A"/>
          <w:sz w:val="22"/>
          <w:szCs w:val="22"/>
        </w:rPr>
        <w:t xml:space="preserve">3. Year 5+: Alumni network &amp; reputation</w:t>
      </w:r>
    </w:p>
    <w:p>
      <w:pPr>
        <w:spacing w:after="160"/>
      </w:pPr>
      <w:r>
        <w:rPr>
          <w:rFonts w:ascii="Arial" w:cs="Arial" w:eastAsia="Arial" w:hAnsi="Arial"/>
          <w:color w:val="3A3F47"/>
          <w:sz w:val="21"/>
          <w:szCs w:val="21"/>
        </w:rPr>
        <w:t xml:space="preserve">Build a placed-alumni network as proof of placement credibility, and expand institutional partnerships.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The placement pathways are inherently international by design — into South Korea and Japan — and the training-and-compliant-placement playbook could in principle extend to other government-to-government or licensed-scheme destination countries with comparable structured worker programs. This is a directional option for future evaluation,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operates strictly within Indonesia's official overseas-placement framework, coordinating with BP2MI for both the Korea G to G and Japan Magang pathways.</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Placement channel:</w:t>
      </w:r>
      <w:r>
        <w:rPr>
          <w:rFonts w:ascii="Arial" w:cs="Arial" w:eastAsia="Arial" w:hAnsi="Arial"/>
          <w:color w:val="3A3F47"/>
          <w:sz w:val="21"/>
          <w:szCs w:val="21"/>
        </w:rPr>
        <w:t xml:space="preserve"> Candidates are placed exclusively through Indonesia's official BP2MI-administered G to G (Korea) and Magang (Japan) government schemes — not through independent or unlicensed brokers.</w:t>
      </w:r>
    </w:p>
    <w:p>
      <w:pPr>
        <w:pStyle w:val="ListParagraph"/>
        <w:numPr>
          <w:ilvl w:val="0"/>
          <w:numId w:val="1"/>
        </w:numPr>
        <w:spacing w:after="100"/>
      </w:pPr>
      <w:r>
        <w:rPr>
          <w:rFonts w:ascii="Arial" w:cs="Arial" w:eastAsia="Arial" w:hAnsi="Arial"/>
          <w:b/>
          <w:bCs/>
          <w:color w:val="3A3F47"/>
          <w:sz w:val="21"/>
          <w:szCs w:val="21"/>
        </w:rPr>
        <w:t xml:space="preserve">Training institution:</w:t>
      </w:r>
      <w:r>
        <w:rPr>
          <w:rFonts w:ascii="Arial" w:cs="Arial" w:eastAsia="Arial" w:hAnsi="Arial"/>
          <w:color w:val="3A3F47"/>
          <w:sz w:val="21"/>
          <w:szCs w:val="21"/>
        </w:rPr>
        <w:t xml:space="preserve"> Operates as LPK Hanggugo Indonesia, providing Korean- and Japanese-language instruction and EPS-TOPIK/skills-test preparation, based in Batang, Central Java.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and the training institution's operating documentation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Open a Legal, Well-Prepared Pathway Into Korea's and Japan's Labor Markets</w:t>
      </w:r>
    </w:p>
    <w:p>
      <w:pPr>
        <w:spacing w:after="160"/>
      </w:pPr>
      <w:r>
        <w:rPr>
          <w:rFonts w:ascii="Arial" w:cs="Arial" w:eastAsia="Arial" w:hAnsi="Arial"/>
          <w:color w:val="3A3F47"/>
          <w:sz w:val="21"/>
          <w:szCs w:val="21"/>
        </w:rPr>
        <w:t xml:space="preserve">We welcome conversations with investors and strategic partners who see the opportunity in a compliant, government-channel language-training and placement institution addressing two officially quantified overseas-labor gaps.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 KOREAN &amp; JAPANESE LANGUAGE TRAINING AND OVERSEAS-PLACEMENT DIVISION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Pendidikan Bahasa Korea &amp; Jepang (LPK Hanggugo Indonesia) — Investor Pitch Deck</dc:title>
  <dc:subject>Investor Pitch Deck — Korean &amp; Japanese Language Training and Overseas-Placement Division, PT Legalku Multi Digital, Semarang, Indonesia.</dc:subject>
  <dc:creator>PT Legalku Multi Digital</dc:creator>
  <cp:keywords>investor pitch deck, Pendidikan Bahasa Korea &amp; Jepang (LPK Hanggugo Indonesia), PT Legalku Multi Digital, Indonesia investment opportunity, Semarang business partnership</cp:keywords>
  <dc:description>Investor Pitch Deck — Korean &amp; Japanese Language Training and Overseas-Placement Division, PT Legalku Multi Digital, Semarang, Indonesia.</dc:description>
  <cp:lastModifiedBy>PT Legalku Multi Digital</cp:lastModifiedBy>
  <cp:revision>1</cp:revision>
  <dcterms:created xsi:type="dcterms:W3CDTF">2026-09-03T03:33:17.098Z</dcterms:created>
  <dcterms:modified xsi:type="dcterms:W3CDTF">2026-09-03T03:33:17.098Z</dcterms:modified>
</cp:coreProperties>
</file>

<file path=docProps/custom.xml><?xml version="1.0" encoding="utf-8"?>
<Properties xmlns="http://schemas.openxmlformats.org/officeDocument/2006/custom-properties" xmlns:vt="http://schemas.openxmlformats.org/officeDocument/2006/docPropsVTypes"/>
</file>