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16838" w:hRule="atLeast"/>
        </w:trPr>
        <w:tc>
          <w:tcPr>
            <w:tcW w:type="dxa" w:w="11906"/>
            <w:shd w:fill="0B1F3A" w:val="clear"/>
            <w:tcMar>
              <w:top w:type="dxa" w:w="900"/>
              <w:left w:type="dxa" w:w="900"/>
              <w:bottom w:type="dxa" w:w="900"/>
              <w:right w:type="dxa" w:w="900"/>
            </w:tcMar>
            <w:vAlign w:val="top"/>
          </w:tcPr>
          <w:p>
            <w:pPr>
              <w:spacing w:after="160"/>
            </w:pPr>
            <w:r>
              <w:drawing>
                <wp:inline distT="0" distB="0" distL="0" distR="0">
                  <wp:extent cx="5334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PT LEGALKU MULTI DIGITAL</w:t>
            </w:r>
          </w:p>
          <w:p>
            <w:pPr>
              <w:spacing w:after="3000"/>
            </w:pPr>
            <w:r>
              <w:rPr>
                <w:rFonts w:ascii="Arial" w:cs="Arial" w:eastAsia="Arial" w:hAnsi="Arial"/>
                <w:color w:val="9FB0CC"/>
                <w:sz w:val="17"/>
                <w:szCs w:val="17"/>
              </w:rPr>
              <w:t xml:space="preserve">Investor Pitch Deck  ·  September 2026</w:t>
            </w:r>
          </w:p>
          <w:p>
            <w:pPr>
              <w:spacing w:after="220"/>
            </w:pPr>
            <w:r>
              <w:rPr>
                <w:rFonts w:ascii="Arial" w:cs="Arial" w:eastAsia="Arial" w:hAnsi="Arial"/>
                <w:b/>
                <w:bCs/>
                <w:color w:val="F0D9A0"/>
                <w:sz w:val="16"/>
                <w:szCs w:val="16"/>
                <w:shd w:fill="1E3A63" w:val="clear"/>
              </w:rPr>
              <w:t xml:space="preserve">  LEGAL-TECH APPLICATION DIVISION  </w:t>
            </w:r>
          </w:p>
          <w:p>
            <w:pPr>
              <w:spacing w:after="140" w:before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58"/>
                <w:szCs w:val="58"/>
              </w:rPr>
              <w:t xml:space="preserve">Aplikasi Legalku</w:t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i/>
                <w:iCs/>
                <w:color w:val="DBE4F0"/>
                <w:sz w:val="24"/>
                <w:szCs w:val="24"/>
              </w:rPr>
              <w:t xml:space="preserve">The nationwide legal-tech platform connecting justice-seekers to licensed advocates, with user-chosen advocates and transparent, self-agreed fees.</w:t>
            </w:r>
          </w:p>
          <w:p>
            <w:pPr>
              <w:pBdr>
                <w:top w:val="single" w:color="C8A24A" w:sz="12" w:space="1"/>
              </w:pBdr>
              <w:spacing w:after="3400"/>
              <w:ind w:right="800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pBdr>
                <w:top w:val="single" w:color="3E5B8A" w:sz="4"/>
              </w:pBdr>
              <w:spacing w:after="90"/>
            </w:pPr>
            <w:r>
              <w:rPr>
                <w:rFonts w:ascii="Arial" w:cs="Arial" w:eastAsia="Arial" w:hAnsi="Arial"/>
                <w:b/>
                <w:bCs/>
                <w:color w:val="8FA0BD"/>
                <w:sz w:val="15"/>
                <w:szCs w:val="15"/>
              </w:rPr>
              <w:t xml:space="preserve">HEADQUARTERS 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Semarang, Central Java, Indonesia</w:t>
            </w:r>
          </w:p>
          <w:p>
            <w:pPr>
              <w:spacing w:after="220"/>
            </w:pPr>
            <w:r>
              <w:rPr>
                <w:rFonts w:ascii="Arial" w:cs="Arial" w:eastAsia="Arial" w:hAnsi="Arial"/>
                <w:b/>
                <w:bCs/>
                <w:color w:val="8FA0BD"/>
                <w:sz w:val="15"/>
                <w:szCs w:val="15"/>
              </w:rPr>
              <w:t xml:space="preserve">PREPARED FOR 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Prospective Investors &amp; Strategic Partners</w:t>
            </w:r>
          </w:p>
          <w:p>
            <w:r>
              <w:rPr>
                <w:rFonts w:ascii="Arial" w:cs="Arial" w:eastAsia="Arial" w:hAnsi="Arial"/>
                <w:i/>
                <w:iCs/>
                <w:color w:val="9FB0CC"/>
                <w:sz w:val="16"/>
                <w:szCs w:val="16"/>
              </w:rPr>
              <w:t xml:space="preserve">This document is confidential and intended solely for the named recipient to evaluate a potential investment or partnership with PT Legalku Multi Digital.</w:t>
            </w:r>
          </w:p>
        </w:tc>
      </w:tr>
    </w:tbl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01 — EXECUTIVE SUMMARY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A Nationwide Digital Bridge Across Indonesia's Advocate-Access Gap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Aplikasi Legalku is a legal-tech platform, live on Google Play (play.google.com/store/apps/details?id=id.applegalku.android), that connects the public with advocates online. Users choose their own advocate and agree on consultation fees transparently, with service reach across all of Indonesia — extending the Legal Services division's practice into a scalable digital channel.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16"/>
        <w:gridCol w:w="3116"/>
        <w:gridCol w:w="3116"/>
      </w:tblGrid>
      <w:tr>
        <w:tc>
          <w:tcPr>
            <w:tcW w:type="dxa" w:w="3116"/>
            <w:tcBorders>
              <w:top w:val="single" w:color="C8A24A" w:sz="18"/>
            </w:tcBorders>
            <w:shd w:fill="FBF6E9" w:val="clear"/>
            <w:tcMar>
              <w:top w:type="dxa" w:w="12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26"/>
                <w:szCs w:val="26"/>
              </w:rPr>
              <w:t xml:space="preserve">69,813</w:t>
            </w:r>
          </w:p>
          <w:p>
            <w:r>
              <w:rPr>
                <w:rFonts w:ascii="Arial" w:cs="Arial" w:eastAsia="Arial" w:hAnsi="Arial"/>
                <w:color w:val="3A3F47"/>
                <w:sz w:val="16"/>
                <w:szCs w:val="16"/>
              </w:rPr>
              <w:t xml:space="preserve">Registered advocates nationwide (2025)</w:t>
            </w:r>
          </w:p>
        </w:tc>
        <w:tc>
          <w:tcPr>
            <w:tcW w:type="dxa" w:w="3116"/>
            <w:tcBorders>
              <w:top w:val="single" w:color="C8A24A" w:sz="18"/>
            </w:tcBorders>
            <w:shd w:fill="FBF6E9" w:val="clear"/>
            <w:tcMar>
              <w:top w:type="dxa" w:w="12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26"/>
                <w:szCs w:val="26"/>
              </w:rPr>
              <w:t xml:space="preserve">288.3M</w:t>
            </w:r>
          </w:p>
          <w:p>
            <w:r>
              <w:rPr>
                <w:rFonts w:ascii="Arial" w:cs="Arial" w:eastAsia="Arial" w:hAnsi="Arial"/>
                <w:color w:val="3A3F47"/>
                <w:sz w:val="16"/>
                <w:szCs w:val="16"/>
              </w:rPr>
              <w:t xml:space="preserve">Indonesia's population (2025)</w:t>
            </w:r>
          </w:p>
        </w:tc>
        <w:tc>
          <w:tcPr>
            <w:tcW w:type="dxa" w:w="3116"/>
            <w:tcBorders>
              <w:top w:val="single" w:color="C8A24A" w:sz="18"/>
            </w:tcBorders>
            <w:shd w:fill="FBF6E9" w:val="clear"/>
            <w:tcMar>
              <w:top w:type="dxa" w:w="12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26"/>
                <w:szCs w:val="26"/>
              </w:rPr>
              <w:t xml:space="preserve">1 : 1,150</w:t>
            </w:r>
          </w:p>
          <w:p>
            <w:r>
              <w:rPr>
                <w:rFonts w:ascii="Arial" w:cs="Arial" w:eastAsia="Arial" w:hAnsi="Arial"/>
                <w:color w:val="3A3F47"/>
                <w:sz w:val="16"/>
                <w:szCs w:val="16"/>
              </w:rPr>
              <w:t xml:space="preserve">Bappenas ideal advocate-to-population service ratio</w:t>
            </w:r>
          </w:p>
        </w:tc>
      </w:tr>
    </w:tbl>
    <w:p>
      <w:pPr>
        <w:spacing w:after="10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B1F3A"/>
          <w:sz w:val="24"/>
          <w:szCs w:val="24"/>
        </w:rPr>
        <w:t xml:space="preserve">What We Do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User-directed, transparent legal-tech marketplace.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A mobile platform where users search for, select, and agree consultation fees directly with licensed advocates, nationwide.</w:t>
      </w: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B1F3A"/>
          <w:sz w:val="24"/>
          <w:szCs w:val="24"/>
        </w:rPr>
        <w:t xml:space="preserve">Why Now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A geography-agnostic answer to a geography-bound shortage.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Indonesia's advocate shortage is worst in regions with the fewest local advocates; a digital platform is structurally suited to closing that specific gap.</w:t>
      </w:r>
    </w:p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02 — PROBLEM &amp; SOLUTION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Advocate Access Is Geographically Uneven — A Digital Platform Removes the Constraint</w:t>
      </w: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B1F3A"/>
          <w:sz w:val="24"/>
          <w:szCs w:val="24"/>
        </w:rPr>
        <w:t xml:space="preserve">The Problem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Advocate access varies sharply by region.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Indonesia's national advocate shortage is not evenly distributed — many regions have especially limited local access, and prospective clients often cannot easily compare advocates or understand consultation costs before committing.</w:t>
      </w: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B1F3A"/>
          <w:sz w:val="24"/>
          <w:szCs w:val="24"/>
        </w:rPr>
        <w:t xml:space="preserve">Our Solution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A transparent, nationwide digital marketplace.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Aplikasi Legalku lets users search and choose an advocate from anywhere in Indonesia and agree on fees transparently before consultation — removing both the geographic and pricing-opacity barriers at once.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Evidence, not assumption.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Indonesia's advocate shortage (69,813 registered advocates for ~288.3 million people as of late 2025, versus an ideal ratio of 1:1,150 per Bappenas-referenced research) is compounded by uneven regional distribution. Indonesia's broader legal-tech sector has also seen continued growth in digital legal-consultation platforms, indicating market validation for this model (sources: Republika/Bambang Soesatyo statement, December 2025; Indonesian legal-tech market observation, Bisnis.com/Kompas.com, 2025).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03 — MARKET SIZE (TAM / SAM / SOM)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The Same National Legal-Access Gap, Addressed Digitally and Without Geographic Limits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Tier</w:t>
            </w:r>
          </w:p>
        </w:tc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Estimate &amp; Basis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TAM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3A3F47"/>
                <w:sz w:val="19"/>
                <w:szCs w:val="19"/>
              </w:rPr>
              <w:t xml:space="preserve">288.3 million people</w:t>
            </w:r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 — Indonesia's total population (2025) — every person is a potential user of a nationwide digital legal-consultation platform.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SAM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3A3F47"/>
                <w:sz w:val="19"/>
                <w:szCs w:val="19"/>
              </w:rPr>
              <w:t xml:space="preserve">~80.3 million matters / year</w:t>
            </w:r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 — The same national licensed-advocate ideal-capacity ceiling as the Legal Services division (69,813 × 1,150 ≈ 80.3M) — since the app's core function is digitally intermediating access to this same national advocate pool, without the geographic limits of a physical office.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SOM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3A3F47"/>
                <w:sz w:val="19"/>
                <w:szCs w:val="19"/>
              </w:rPr>
              <w:t xml:space="preserve">~40,000–120,000 consultations / year (target)</w:t>
            </w:r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 — Internal 3-year planning target: 0.05%–0.15% of SAM, as the app's user base and advocate-partner network grow. A planning assumption, not a forecast.</w:t>
            </w:r>
          </w:p>
        </w:tc>
      </w:tr>
    </w:tbl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Methodology &amp; sourcing.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TAM and SAM use the same publicly sourced statistics and methodology as the Legal Services division's market sizing (Republika / Bambang Soesatyo statement, December 2025, citing Bappenas-referenced research), reframed around the app's role as a nationwide digital intermediary rather than a single physical practice. SOM is management's own illustrative capture target.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04 — BUSINESS MODEL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Platform-Enabled Consultations, With Room for a Take-Rate or Subscription Layer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The platform's current model is built on transparent, user-agreed consultation fees between users and advocates; monetization mechanics beyond this (such as a platform service fee or advocate subscription tier) represent a natural future evolution rather than a currently committed structure.</w:t>
      </w:r>
    </w:p>
    <w:p>
      <w:pPr>
        <w:spacing w:after="100"/>
      </w:pP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1. Advocate search &amp; selection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Users browse and select an advocate on the platform based on their legal need.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2. Transparent fee agreement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User and advocate agree on the consultation fee directly and transparently within the platform, before service begins.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3. Digital consultation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Legal consultation is delivered through the app, removing the need for either party to be physically co-located.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4. Network growth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Each new registered advocate widens the platform's regional coverage; each satisfied user is a potential source of referral-driven growth.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5. Future monetization layer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As the network scales, a platform service fee or advocate subscription tier is a natural, though not yet committed, extension of the current user-to-advocate fee model.</w:t>
      </w:r>
    </w:p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05 — COMPETITIVE ADVANTAGE (MOAT)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Why This Is Hard to Copy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The platform's defensibility comes from its parent group's existing advocate relationships and legal-market credibility, not from technology alone.</w:t>
      </w:r>
    </w:p>
    <w:p>
      <w:pPr>
        <w:spacing w:after="100"/>
      </w:pPr>
    </w:p>
    <w:p>
      <w:pPr>
        <w:spacing w:after="30" w:before="8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Backed by an established legal-services practice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Aplikasi Legalku launches with the credibility and advocate relationships of the group's existing Legal Services division, rather than starting a two-sided marketplace from zero.</w:t>
      </w:r>
    </w:p>
    <w:p>
      <w:pPr>
        <w:spacing w:after="30" w:before="8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Nationwide reach from day one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Unlike a physical practice, the app is not constrained to a single city or province — it can onboard advocates and users anywhere in Indonesia.</w:t>
      </w:r>
    </w:p>
    <w:p>
      <w:pPr>
        <w:spacing w:after="30" w:before="8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Transparent, user-directed fee model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Letting users choose their advocate and agree fees directly builds trust that opaque, undisclosed-fee competitors struggle to match.</w:t>
      </w:r>
    </w:p>
    <w:p>
      <w:pPr>
        <w:spacing w:after="30" w:before="8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Network effects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As more advocates join, the platform becomes more useful to users, and as more users join, it becomes more attractive to advocates — a self-reinforcing dynamic once scale is reached.</w:t>
      </w:r>
    </w:p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06 — TRACTION &amp; FINANCIALS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Live on Google Play, Financials Available Under NDA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The app is publicly live today — the clearest form of traction at this stage — with monetization and usage-scale metrics to be shared under NDA as the platform matures.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Indicator</w:t>
            </w:r>
          </w:p>
        </w:tc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Current Status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Legal entity status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Active PT, fully registered since 2025 (AHU ratification on file)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Group structure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6 integrated, currently operating divisions under one holding entity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Financial history &amp; projections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Not disclosed in this document — available to qualified investors under NDA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Platform status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Live and publicly downloadable on Google Play Store (id.applegalku.android)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Core functionality live today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Advocate search &amp; selection, direct fee agreement, digital consultation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Usage &amp; download metrics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Not disclosed in this document — available to qualified investors under NDA</w:t>
            </w:r>
          </w:p>
        </w:tc>
      </w:tr>
    </w:tbl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Disclosure.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PT Legalku Multi Digital is a founder-operated group in an active growth phase. Historical revenue, user-growth, and forward-looking financial projections are intentionally not included in this public-facing deck; verified figures are shared with qualified investors under a non-disclosure agreement during due diligence. We would rather disclose less than present figures we cannot fully substantiate.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07 — SCALABILITY &amp; GROWTH STRATEGY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From App Launch to Indonesia's Default Digital Legal-Access Channel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Growth proceeds from product refinement, to advocate-network expansion, to national adoption as the primary digital channel for legal access.</w:t>
      </w:r>
    </w:p>
    <w:p>
      <w:pPr>
        <w:spacing w:after="100"/>
      </w:pP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1. Years 1–2: Strengthen the platform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Improve app features, advocate-search usability, and the online-consultation experience for users.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2. Years 3–5: Expand the advocate network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Grow the number of partner advocates across Indonesian regions to directly address the national advocate-to-population ratio gap.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3. Year 5+: Nationwide adoption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Increase national app adoption as a primary channel for affordable, transparent digital legal access.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color w:val="3A3F47"/>
                <w:sz w:val="19"/>
                <w:szCs w:val="19"/>
              </w:rPr>
              <w:t xml:space="preserve">International framing.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 As a mobile-software platform, Aplikasi Legalku is technically portable to other markets; the most direct expansion path would be other Southeast Asian countries with comparable advocate-access gaps and similar regulatory structures for legal-tech marketplaces — a directional option for future evaluation, not a committed international launch plan.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08 — LEGAL &amp; REGULATORY COMPLIANCE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Built on a Fully Licensed Legal Foundation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The platform operates under a registered legal entity as an extension of the group's Legal Services division, connecting users to advocates licensed to practice under Indonesian law.</w:t>
      </w:r>
    </w:p>
    <w:p>
      <w:pPr>
        <w:spacing w:after="100"/>
      </w:pP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Legal Entity: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PT (Perseroan Terbatas / Limited Liability Company), ratified under Deed No. AHU-0032243.AH.01.02.Tahun 2025.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Tax ID (NPWP):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1.000.0000.0187.7604 — registered taxpayer with the Indonesian Directorate General of Taxes.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Business ID (NIB):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2804250030574 — registered via Indonesia's national OSS (Online Single Submission) system.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Advocate network: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Advocates on the platform are licensed to practice under Indonesian law and subject to the Indonesian Advocates' professional code of ethics.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App distribution: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Published and distributed through Google Play Store under the package id.applegalku.android.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Certified copies of the entity's incorporation documents are available for review during due diligence.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09 — CORE TEAM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Leadership Grounded in Legal &amp; Governance Expertise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Leadership combines legal qualification with governance and management oversight across the group's six divisions.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Name &amp; Role</w:t>
            </w:r>
          </w:p>
        </w:tc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Background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HM. Asrori, S.H., M.H.
President Director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Bachelor of Laws (S.H.) and Master of Laws (M.H.). Leads overall group strategy and legal practice direction. Full CV available under due diligence.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Teguh Santoso, S.H., M.M.
Deputy Director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Bachelor of Laws (S.H.) and Master of Management (M.M.). Oversees operations and business management across the group's six divisions. Full CV available under due diligence.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Febryan Alam Susatyo, S.H., M.H.
Commissioner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Bachelor of Laws (S.H.) and Master of Laws (M.H.). Provides governance oversight of legal and corporate affairs. Full CV available under due diligence.</w:t>
            </w:r>
          </w:p>
        </w:tc>
      </w:tr>
    </w:tbl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Detailed track records, references, and full professional CVs for the leadership team are shared directly with qualified investors during the due-diligence stage.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LET'S BUILD THIS TOGETHER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Help Us Scale Indonesia's Nationwide Legal-Access Platform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We welcome conversations with investors and strategic partners who see the scale opportunity in a live, nationwide legal-tech platform addressing a well-documented access gap. Full financials and team CVs are available under NDA.</w:t>
      </w:r>
    </w:p>
    <w:p>
      <w:pPr>
        <w:spacing w:after="20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0B1F3A"/>
          <w:sz w:val="20"/>
          <w:szCs w:val="20"/>
        </w:rPr>
        <w:t xml:space="preserve">WhatsApp: </w:t>
      </w:r>
      <w:r>
        <w:rPr>
          <w:rFonts w:ascii="Arial" w:cs="Arial" w:eastAsia="Arial" w:hAnsi="Arial"/>
          <w:sz w:val="20"/>
          <w:szCs w:val="20"/>
        </w:rPr>
        <w:t xml:space="preserve">0811-2696-066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0B1F3A"/>
          <w:sz w:val="20"/>
          <w:szCs w:val="20"/>
        </w:rPr>
        <w:t xml:space="preserve">Email: </w:t>
      </w:r>
      <w:r>
        <w:rPr>
          <w:rFonts w:ascii="Arial" w:cs="Arial" w:eastAsia="Arial" w:hAnsi="Arial"/>
          <w:sz w:val="20"/>
          <w:szCs w:val="20"/>
        </w:rPr>
        <w:t xml:space="preserve">adm@legalku.co.id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0B1F3A"/>
          <w:sz w:val="20"/>
          <w:szCs w:val="20"/>
        </w:rPr>
        <w:t xml:space="preserve">Website: </w:t>
      </w:r>
      <w:r>
        <w:rPr>
          <w:rFonts w:ascii="Arial" w:cs="Arial" w:eastAsia="Arial" w:hAnsi="Arial"/>
          <w:sz w:val="20"/>
          <w:szCs w:val="20"/>
        </w:rPr>
        <w:t xml:space="preserve">www.legalku.org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0B1F3A"/>
          <w:sz w:val="20"/>
          <w:szCs w:val="20"/>
        </w:rPr>
        <w:t xml:space="preserve">Office: </w:t>
      </w:r>
      <w:r>
        <w:rPr>
          <w:rFonts w:ascii="Arial" w:cs="Arial" w:eastAsia="Arial" w:hAnsi="Arial"/>
          <w:sz w:val="20"/>
          <w:szCs w:val="20"/>
        </w:rPr>
        <w:t xml:space="preserve">Jl. Taman Flamboyan Raya No. 26, Pedurungan Lor, Semarang, Indonesia</w:t>
      </w:r>
    </w:p>
    <w:sectPr>
      <w:headerReference w:type="default" r:id="rId7"/>
      <w:footerReference w:type="default" r:id="rId8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6E3" w:sz="4" w:space="4"/>
      </w:pBdr>
      <w:jc w:val="center"/>
    </w:pPr>
    <w:r>
      <w:rPr>
        <w:rFonts w:ascii="Arial" w:cs="Arial" w:eastAsia="Arial" w:hAnsi="Arial"/>
        <w:color w:val="9AA5B5"/>
        <w:sz w:val="14"/>
        <w:szCs w:val="14"/>
      </w:rPr>
      <w:t xml:space="preserve">© 2026 PT Legalku Multi Digital · Page </w:t>
    </w:r>
    <w:r>
      <w:rPr>
        <w:rFonts w:ascii="Arial" w:cs="Arial" w:eastAsia="Arial" w:hAnsi="Arial"/>
        <w:color w:val="9AA5B5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9AA5B5"/>
        <w:sz w:val="14"/>
        <w:szCs w:val="14"/>
      </w:rPr>
      <w:t xml:space="preserve"> of </w:t>
    </w:r>
    <w:r>
      <w:rPr>
        <w:rFonts w:ascii="Arial" w:cs="Arial" w:eastAsia="Arial" w:hAnsi="Arial"/>
        <w:color w:val="9AA5B5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6E6E3" w:sz="4" w:space="4"/>
      </w:pBdr>
      <w:jc w:val="right"/>
    </w:pPr>
    <w:r>
      <w:rPr>
        <w:rFonts w:ascii="Arial" w:cs="Arial" w:eastAsia="Arial" w:hAnsi="Arial"/>
        <w:color w:val="9AA5B5"/>
        <w:sz w:val="14"/>
        <w:szCs w:val="14"/>
      </w:rPr>
      <w:t xml:space="preserve">PT LEGALKU MULTI DIGITAL · INVESTOR PITCH DECK — LEGAL-TECH APPLICATION DIVISION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316c3375e07790a6ec8503c500827fb9abfa22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Aplikasi Legalku — Investor Pitch Deck</dc:title>
  <dc:subject>Investor Pitch Deck — Legal-Tech Application Division, PT Legalku Multi Digital, Semarang, Indonesia.</dc:subject>
  <dc:creator>PT Legalku Multi Digital</dc:creator>
  <cp:keywords>investor pitch deck, Aplikasi Legalku, PT Legalku Multi Digital, Indonesia investment opportunity, Semarang business partnership</cp:keywords>
  <dc:description>Investor Pitch Deck — Legal-Tech Application Division, PT Legalku Multi Digital, Semarang, Indonesia.</dc:description>
  <cp:lastModifiedBy>PT Legalku Multi Digital</cp:lastModifiedBy>
  <cp:revision>1</cp:revision>
  <dcterms:created xsi:type="dcterms:W3CDTF">2026-09-03T03:33:17.045Z</dcterms:created>
  <dcterms:modified xsi:type="dcterms:W3CDTF">2026-09-03T03:33:17.045Z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