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1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rPr>
          <w:trHeight w:val="16838" w:hRule="atLeast"/>
        </w:trPr>
        <w:tc>
          <w:tcPr>
            <w:tcW w:type="dxa" w:w="11906"/>
            <w:shd w:fill="0B1F3A" w:val="clear"/>
            <w:tcMar>
              <w:top w:type="dxa" w:w="900"/>
              <w:left w:type="dxa" w:w="900"/>
              <w:bottom w:type="dxa" w:w="900"/>
              <w:right w:type="dxa" w:w="900"/>
            </w:tcMar>
            <w:vAlign w:val="top"/>
          </w:tcPr>
          <w:p>
            <w:pPr>
              <w:spacing w:after="160"/>
            </w:pPr>
            <w:r>
              <w:drawing>
                <wp:inline distT="0" distB="0" distL="0" distR="0">
                  <wp:extent cx="533400" cy="533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0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PT LEGALKU MULTI DIGITAL</w:t>
            </w:r>
          </w:p>
          <w:p>
            <w:pPr>
              <w:spacing w:after="3000"/>
            </w:pPr>
            <w:r>
              <w:rPr>
                <w:rFonts w:ascii="Arial" w:cs="Arial" w:eastAsia="Arial" w:hAnsi="Arial"/>
                <w:color w:val="9FB0CC"/>
                <w:sz w:val="17"/>
                <w:szCs w:val="17"/>
              </w:rPr>
              <w:t xml:space="preserve">Investor Pitch Deck  ·  September 2026</w:t>
            </w:r>
          </w:p>
          <w:p>
            <w:pPr>
              <w:spacing w:after="220"/>
            </w:pPr>
            <w:r>
              <w:rPr>
                <w:rFonts w:ascii="Arial" w:cs="Arial" w:eastAsia="Arial" w:hAnsi="Arial"/>
                <w:b/>
                <w:bCs/>
                <w:color w:val="F0D9A0"/>
                <w:sz w:val="16"/>
                <w:szCs w:val="16"/>
                <w:shd w:fill="1E3A63" w:val="clear"/>
              </w:rPr>
              <w:t xml:space="preserve">  BOTTLED WATER PRODUCTION DIVISION  </w:t>
            </w:r>
          </w:p>
          <w:p>
            <w:pPr>
              <w:spacing w:after="140" w:before="60"/>
            </w:pPr>
            <w:r>
              <w:rPr>
                <w:rFonts w:ascii="Arial" w:cs="Arial" w:eastAsia="Arial" w:hAnsi="Arial"/>
                <w:b/>
                <w:bCs/>
                <w:color w:val="FFFFFF"/>
                <w:sz w:val="58"/>
                <w:szCs w:val="58"/>
              </w:rPr>
              <w:t xml:space="preserve">Quarentine Bottled Water</w:t>
            </w:r>
          </w:p>
          <w:p>
            <w:pPr>
              <w:spacing w:after="200"/>
            </w:pPr>
            <w:r>
              <w:rPr>
                <w:rFonts w:ascii="Arial" w:cs="Arial" w:eastAsia="Arial" w:hAnsi="Arial"/>
                <w:i/>
                <w:iCs/>
                <w:color w:val="DBE4F0"/>
                <w:sz w:val="24"/>
                <w:szCs w:val="24"/>
              </w:rPr>
              <w:t xml:space="preserve">Fully certified, hygienic bottled water for corporate, HORECA, and retail distribution in a resilient, essential-goods category.</w:t>
            </w:r>
          </w:p>
          <w:p>
            <w:pPr>
              <w:pBdr>
                <w:top w:val="single" w:color="C8A24A" w:sz="12" w:space="1"/>
              </w:pBdr>
              <w:spacing w:after="3400"/>
              <w:ind w:right="8000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pBdr>
                <w:top w:val="single" w:color="3E5B8A" w:sz="4"/>
              </w:pBdr>
              <w:spacing w:after="90"/>
            </w:pPr>
            <w:r>
              <w:rPr>
                <w:rFonts w:ascii="Arial" w:cs="Arial" w:eastAsia="Arial" w:hAnsi="Arial"/>
                <w:b/>
                <w:bCs/>
                <w:color w:val="8FA0BD"/>
                <w:sz w:val="15"/>
                <w:szCs w:val="15"/>
              </w:rPr>
              <w:t xml:space="preserve">HEADQUARTERS 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Semarang, Central Java, Indonesia</w:t>
            </w:r>
          </w:p>
          <w:p>
            <w:pPr>
              <w:spacing w:after="220"/>
            </w:pPr>
            <w:r>
              <w:rPr>
                <w:rFonts w:ascii="Arial" w:cs="Arial" w:eastAsia="Arial" w:hAnsi="Arial"/>
                <w:b/>
                <w:bCs/>
                <w:color w:val="8FA0BD"/>
                <w:sz w:val="15"/>
                <w:szCs w:val="15"/>
              </w:rPr>
              <w:t xml:space="preserve">PREPARED FOR 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Prospective Investors &amp; Strategic Partners</w:t>
            </w:r>
          </w:p>
          <w:p>
            <w:r>
              <w:rPr>
                <w:rFonts w:ascii="Arial" w:cs="Arial" w:eastAsia="Arial" w:hAnsi="Arial"/>
                <w:i/>
                <w:iCs/>
                <w:color w:val="9FB0CC"/>
                <w:sz w:val="16"/>
                <w:szCs w:val="16"/>
              </w:rPr>
              <w:t xml:space="preserve">This document is confidential and intended solely for the named recipient to evaluate a potential investment or partnership with PT Legalku Multi Digital.</w:t>
            </w:r>
          </w:p>
        </w:tc>
      </w:tr>
    </w:tbl>
    <w:p>
      <w:pPr>
        <w:sectPr>
          <w:pgSz w:w="11906" w:h="16838" w:orient="portrait"/>
          <w:pgMar w:top="0" w:right="0" w:bottom="0" w:left="0" w:header="708" w:footer="708" w:gutter="0"/>
          <w:pgNumType/>
          <w:docGrid w:linePitch="360"/>
        </w:sectPr>
      </w:pPr>
    </w:p>
    <w:p>
      <w:pPr>
        <w:spacing w:after="80"/>
      </w:pPr>
      <w:r>
        <w:rPr>
          <w:rFonts w:ascii="Arial" w:cs="Arial" w:eastAsia="Arial" w:hAnsi="Arial"/>
          <w:b/>
          <w:bCs/>
          <w:color w:val="C8A24A"/>
          <w:sz w:val="17"/>
          <w:szCs w:val="17"/>
        </w:rPr>
        <w:t xml:space="preserve">01 — EXECUTIVE SUMMARY</w:t>
      </w:r>
    </w:p>
    <w:p>
      <w:pPr>
        <w:pStyle w:val="Heading1"/>
        <w:spacing w:after="200" w:before="40"/>
      </w:pPr>
      <w:r>
        <w:rPr>
          <w:rFonts w:ascii="Arial" w:cs="Arial" w:eastAsia="Arial" w:hAnsi="Arial"/>
          <w:b/>
          <w:bCs/>
          <w:color w:val="0B1F3A"/>
          <w:sz w:val="32"/>
          <w:szCs w:val="32"/>
        </w:rPr>
        <w:t xml:space="preserve">A Certified Producer in a Large, Stable, Essential-Goods Market</w:t>
      </w:r>
    </w:p>
    <w:p>
      <w:pPr>
        <w:spacing w:after="160"/>
      </w:pPr>
      <w:r>
        <w:rPr>
          <w:rFonts w:ascii="Arial" w:cs="Arial" w:eastAsia="Arial" w:hAnsi="Arial"/>
          <w:color w:val="3A3F47"/>
          <w:sz w:val="21"/>
          <w:szCs w:val="21"/>
        </w:rPr>
        <w:t xml:space="preserve">Legalku's Air Mineral Quarentine division produces hygienic, tested, fully licensed bottled drinking water (AMDK) under the Quarentine brand, serving office, event, HORECA (hotel/restaurant/cafe), and retail-distribution demand — inside Indonesia's large and consistently growing national AMDK market.</w:t>
      </w:r>
    </w:p>
    <w:p>
      <w:pPr>
        <w:spacing w:after="100"/>
      </w:pP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75"/>
        <w:gridCol w:w="4675"/>
      </w:tblGrid>
      <w:tr>
        <w:tc>
          <w:tcPr>
            <w:tcW w:type="dxa" w:w="4675"/>
            <w:tcBorders>
              <w:top w:val="single" w:color="C8A24A" w:sz="18"/>
            </w:tcBorders>
            <w:shd w:fill="FBF6E9" w:val="clear"/>
            <w:tcMar>
              <w:top w:type="dxa" w:w="12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0B1F3A"/>
                <w:sz w:val="26"/>
                <w:szCs w:val="26"/>
              </w:rPr>
              <w:t xml:space="preserve">45–46B</w:t>
            </w:r>
          </w:p>
          <w:p>
            <w:r>
              <w:rPr>
                <w:rFonts w:ascii="Arial" w:cs="Arial" w:eastAsia="Arial" w:hAnsi="Arial"/>
                <w:color w:val="3A3F47"/>
                <w:sz w:val="16"/>
                <w:szCs w:val="16"/>
              </w:rPr>
              <w:t xml:space="preserve">Litres — national AMDK market volume per year</w:t>
            </w:r>
          </w:p>
        </w:tc>
        <w:tc>
          <w:tcPr>
            <w:tcW w:type="dxa" w:w="4675"/>
            <w:tcBorders>
              <w:top w:val="single" w:color="C8A24A" w:sz="18"/>
            </w:tcBorders>
            <w:shd w:fill="FBF6E9" w:val="clear"/>
            <w:tcMar>
              <w:top w:type="dxa" w:w="12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0B1F3A"/>
                <w:sz w:val="26"/>
                <w:szCs w:val="26"/>
              </w:rPr>
              <w:t xml:space="preserve">4–6%</w:t>
            </w:r>
          </w:p>
          <w:p>
            <w:r>
              <w:rPr>
                <w:rFonts w:ascii="Arial" w:cs="Arial" w:eastAsia="Arial" w:hAnsi="Arial"/>
                <w:color w:val="3A3F47"/>
                <w:sz w:val="16"/>
                <w:szCs w:val="16"/>
              </w:rPr>
              <w:t xml:space="preserve">Projected AMDK industry growth, 2026</w:t>
            </w:r>
          </w:p>
        </w:tc>
      </w:tr>
    </w:tbl>
    <w:p>
      <w:pPr>
        <w:spacing w:after="100"/>
      </w:pPr>
    </w:p>
    <w:p>
      <w:pPr>
        <w:pStyle w:val="Heading2"/>
        <w:spacing w:after="120" w:before="200"/>
      </w:pPr>
      <w:r>
        <w:rPr>
          <w:rFonts w:ascii="Arial" w:cs="Arial" w:eastAsia="Arial" w:hAnsi="Arial"/>
          <w:b/>
          <w:bCs/>
          <w:color w:val="0B1F3A"/>
          <w:sz w:val="24"/>
          <w:szCs w:val="24"/>
        </w:rPr>
        <w:t xml:space="preserve">What We Do</w:t>
      </w:r>
    </w:p>
    <w:p>
      <w:pPr>
        <w:spacing w:after="160"/>
      </w:pPr>
      <w:r>
        <w:rPr>
          <w:rFonts w:ascii="Arial" w:cs="Arial" w:eastAsia="Arial" w:hAnsi="Arial"/>
          <w:b/>
          <w:bCs/>
          <w:color w:val="3A3F47"/>
          <w:sz w:val="21"/>
          <w:szCs w:val="21"/>
        </w:rPr>
        <w:t xml:space="preserve">Certified bottled-water production.</w:t>
      </w:r>
      <w:r>
        <w:rPr>
          <w:rFonts w:ascii="Arial" w:cs="Arial" w:eastAsia="Arial" w:hAnsi="Arial"/>
          <w:color w:val="3A3F47"/>
          <w:sz w:val="21"/>
          <w:szCs w:val="21"/>
        </w:rPr>
        <w:t xml:space="preserve"> Hygienic, quality-tested AMDK production under the Quarentine brand, across multiple pack sizes for office, event, HORECA, and retail-distribution customers.</w:t>
      </w:r>
    </w:p>
    <w:p>
      <w:pPr>
        <w:pStyle w:val="Heading2"/>
        <w:spacing w:after="120" w:before="200"/>
      </w:pPr>
      <w:r>
        <w:rPr>
          <w:rFonts w:ascii="Arial" w:cs="Arial" w:eastAsia="Arial" w:hAnsi="Arial"/>
          <w:b/>
          <w:bCs/>
          <w:color w:val="0B1F3A"/>
          <w:sz w:val="24"/>
          <w:szCs w:val="24"/>
        </w:rPr>
        <w:t xml:space="preserve">Why Now</w:t>
      </w:r>
    </w:p>
    <w:p>
      <w:pPr>
        <w:spacing w:after="160"/>
      </w:pPr>
      <w:r>
        <w:rPr>
          <w:rFonts w:ascii="Arial" w:cs="Arial" w:eastAsia="Arial" w:hAnsi="Arial"/>
          <w:b/>
          <w:bCs/>
          <w:color w:val="3A3F47"/>
          <w:sz w:val="21"/>
          <w:szCs w:val="21"/>
        </w:rPr>
        <w:t xml:space="preserve">An essential good with stable, growing demand.</w:t>
      </w:r>
      <w:r>
        <w:rPr>
          <w:rFonts w:ascii="Arial" w:cs="Arial" w:eastAsia="Arial" w:hAnsi="Arial"/>
          <w:color w:val="3A3F47"/>
          <w:sz w:val="21"/>
          <w:szCs w:val="21"/>
        </w:rPr>
        <w:t xml:space="preserve"> Bottled water is a daily-necessity category; national industry data shows steady multi-billion-litre annual volume with continued growth into 2026.</w:t>
      </w:r>
    </w:p>
    <w:p>
      <w:r>
        <w:br w:type="page"/>
      </w:r>
    </w:p>
    <w:p>
      <w:pPr>
        <w:spacing w:after="80"/>
      </w:pPr>
      <w:r>
        <w:rPr>
          <w:rFonts w:ascii="Arial" w:cs="Arial" w:eastAsia="Arial" w:hAnsi="Arial"/>
          <w:b/>
          <w:bCs/>
          <w:color w:val="C8A24A"/>
          <w:sz w:val="17"/>
          <w:szCs w:val="17"/>
        </w:rPr>
        <w:t xml:space="preserve">02 — PROBLEM &amp; SOLUTION</w:t>
      </w:r>
    </w:p>
    <w:p>
      <w:pPr>
        <w:pStyle w:val="Heading1"/>
        <w:spacing w:after="200" w:before="40"/>
      </w:pPr>
      <w:r>
        <w:rPr>
          <w:rFonts w:ascii="Arial" w:cs="Arial" w:eastAsia="Arial" w:hAnsi="Arial"/>
          <w:b/>
          <w:bCs/>
          <w:color w:val="0B1F3A"/>
          <w:sz w:val="32"/>
          <w:szCs w:val="32"/>
        </w:rPr>
        <w:t xml:space="preserve">Reliable, Certified Water Supply Is Not a Given — We Make It Dependable</w:t>
      </w:r>
    </w:p>
    <w:p>
      <w:pPr>
        <w:pStyle w:val="Heading2"/>
        <w:spacing w:after="120" w:before="200"/>
      </w:pPr>
      <w:r>
        <w:rPr>
          <w:rFonts w:ascii="Arial" w:cs="Arial" w:eastAsia="Arial" w:hAnsi="Arial"/>
          <w:b/>
          <w:bCs/>
          <w:color w:val="0B1F3A"/>
          <w:sz w:val="24"/>
          <w:szCs w:val="24"/>
        </w:rPr>
        <w:t xml:space="preserve">The Problem</w:t>
      </w:r>
    </w:p>
    <w:p>
      <w:pPr>
        <w:spacing w:after="160"/>
      </w:pPr>
      <w:r>
        <w:rPr>
          <w:rFonts w:ascii="Arial" w:cs="Arial" w:eastAsia="Arial" w:hAnsi="Arial"/>
          <w:b/>
          <w:bCs/>
          <w:color w:val="3A3F47"/>
          <w:sz w:val="21"/>
          <w:szCs w:val="21"/>
        </w:rPr>
        <w:t xml:space="preserve">Bulk buyers need dependable, certified supply.</w:t>
      </w:r>
      <w:r>
        <w:rPr>
          <w:rFonts w:ascii="Arial" w:cs="Arial" w:eastAsia="Arial" w:hAnsi="Arial"/>
          <w:color w:val="3A3F47"/>
          <w:sz w:val="21"/>
          <w:szCs w:val="21"/>
        </w:rPr>
        <w:t xml:space="preserve"> Offices, event organizers, and HORECA operators need a bottled-water supplier they can rely on for consistent quality, hygiene, and full regulatory compliance — attributes not guaranteed across Indonesia's fragmented AMDK supplier base.</w:t>
      </w:r>
    </w:p>
    <w:p>
      <w:pPr>
        <w:pStyle w:val="Heading2"/>
        <w:spacing w:after="120" w:before="200"/>
      </w:pPr>
      <w:r>
        <w:rPr>
          <w:rFonts w:ascii="Arial" w:cs="Arial" w:eastAsia="Arial" w:hAnsi="Arial"/>
          <w:b/>
          <w:bCs/>
          <w:color w:val="0B1F3A"/>
          <w:sz w:val="24"/>
          <w:szCs w:val="24"/>
        </w:rPr>
        <w:t xml:space="preserve">Our Solution</w:t>
      </w:r>
    </w:p>
    <w:p>
      <w:pPr>
        <w:spacing w:after="160"/>
      </w:pPr>
      <w:r>
        <w:rPr>
          <w:rFonts w:ascii="Arial" w:cs="Arial" w:eastAsia="Arial" w:hAnsi="Arial"/>
          <w:b/>
          <w:bCs/>
          <w:color w:val="3A3F47"/>
          <w:sz w:val="21"/>
          <w:szCs w:val="21"/>
        </w:rPr>
        <w:t xml:space="preserve">Fully certified, quality-controlled production.</w:t>
      </w:r>
      <w:r>
        <w:rPr>
          <w:rFonts w:ascii="Arial" w:cs="Arial" w:eastAsia="Arial" w:hAnsi="Arial"/>
          <w:color w:val="3A3F47"/>
          <w:sz w:val="21"/>
          <w:szCs w:val="21"/>
        </w:rPr>
        <w:t xml:space="preserve"> Quarentine production adheres to strict food-safety and hygiene standards at every stage, with full legal/regulatory compliance, giving corporate, HORECA, and retail customers a supplier they can depend on.</w:t>
      </w:r>
    </w:p>
    <w:p>
      <w:pPr>
        <w:spacing w:after="100"/>
      </w:pP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W w:type="dxa" w:w="9350"/>
            <w:tcBorders>
              <w:top w:val="single" w:color="E6E6E3" w:sz="4"/>
              <w:left w:val="single" w:color="C8A24A" w:sz="24"/>
              <w:bottom w:val="single" w:color="E6E6E3" w:sz="4"/>
              <w:right w:val="single" w:color="E6E6E3" w:sz="4"/>
            </w:tcBorders>
            <w:shd w:fill="FBFBFA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r>
              <w:rPr>
                <w:rFonts w:ascii="Arial" w:cs="Arial" w:eastAsia="Arial" w:hAnsi="Arial"/>
                <w:b/>
                <w:bCs/>
                <w:color w:val="0B1F3A"/>
                <w:sz w:val="19"/>
                <w:szCs w:val="19"/>
              </w:rPr>
              <w:t xml:space="preserve">Evidence, not assumption. </w:t>
            </w:r>
            <w:r>
              <w:rPr>
                <w:rFonts w:ascii="Arial" w:cs="Arial" w:eastAsia="Arial" w:hAnsi="Arial"/>
                <w:color w:val="3A3F47"/>
                <w:sz w:val="19"/>
                <w:szCs w:val="19"/>
              </w:rPr>
              <w:t xml:space="preserve">Indonesia's national AMDK (bottled drinking water) market is estimated at 45–46 billion litres per year, with the industry association projecting 4–6% growth in 2026 (source: Asosiasi Produsen Air Minum Dalam Kemasan Indonesia / Amdatara, published via Kontan.co.id, 2026), driven by the category's status as a stable daily necessity.</w:t>
            </w:r>
          </w:p>
        </w:tc>
      </w:tr>
    </w:tbl>
    <w:p>
      <w:r>
        <w:br w:type="page"/>
      </w:r>
    </w:p>
    <w:p>
      <w:pPr>
        <w:spacing w:after="80"/>
      </w:pPr>
      <w:r>
        <w:rPr>
          <w:rFonts w:ascii="Arial" w:cs="Arial" w:eastAsia="Arial" w:hAnsi="Arial"/>
          <w:b/>
          <w:bCs/>
          <w:color w:val="C8A24A"/>
          <w:sz w:val="17"/>
          <w:szCs w:val="17"/>
        </w:rPr>
        <w:t xml:space="preserve">03 — MARKET SIZE (TAM / SAM / SOM)</w:t>
      </w:r>
    </w:p>
    <w:p>
      <w:pPr>
        <w:pStyle w:val="Heading1"/>
        <w:spacing w:after="200" w:before="40"/>
      </w:pPr>
      <w:r>
        <w:rPr>
          <w:rFonts w:ascii="Arial" w:cs="Arial" w:eastAsia="Arial" w:hAnsi="Arial"/>
          <w:b/>
          <w:bCs/>
          <w:color w:val="0B1F3A"/>
          <w:sz w:val="32"/>
          <w:szCs w:val="32"/>
        </w:rPr>
        <w:t xml:space="preserve">A Multi-Billion-Litre National Market, Growing Every Year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shd w:fill="0B1F3A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Tier</w:t>
            </w:r>
          </w:p>
        </w:tc>
        <w:tc>
          <w:tcPr>
            <w:shd w:fill="0B1F3A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Estimate &amp; Basis</w:t>
            </w:r>
          </w:p>
        </w:tc>
      </w:tr>
      <w:tr>
        <w:tc>
          <w:tcPr>
            <w:tcBorders>
              <w:top w:val="single" w:color="E6E6E3" w:sz="2"/>
              <w:left w:val="single" w:color="E6E6E3" w:sz="2"/>
              <w:bottom w:val="single" w:color="E6E6E3" w:sz="2"/>
              <w:right w:val="single" w:color="E6E6E3" w:sz="2"/>
            </w:tcBorders>
            <w:shd w:fill="FBFBFA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rFonts w:ascii="Arial" w:cs="Arial" w:eastAsia="Arial" w:hAnsi="Arial"/>
                <w:b/>
                <w:bCs/>
                <w:color w:val="0B1F3A"/>
                <w:sz w:val="19"/>
                <w:szCs w:val="19"/>
              </w:rPr>
              <w:t xml:space="preserve">TAM</w:t>
            </w:r>
          </w:p>
        </w:tc>
        <w:tc>
          <w:tcPr>
            <w:tcBorders>
              <w:top w:val="single" w:color="E6E6E3" w:sz="2"/>
              <w:left w:val="single" w:color="E6E6E3" w:sz="2"/>
              <w:bottom w:val="single" w:color="E6E6E3" w:sz="2"/>
              <w:right w:val="single" w:color="E6E6E3" w:sz="2"/>
            </w:tcBorders>
            <w:shd w:fill="FFFFFF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rFonts w:ascii="Arial" w:cs="Arial" w:eastAsia="Arial" w:hAnsi="Arial"/>
                <w:b/>
                <w:bCs/>
                <w:color w:val="3A3F47"/>
                <w:sz w:val="19"/>
                <w:szCs w:val="19"/>
              </w:rPr>
              <w:t xml:space="preserve">~45.5 billion litres / year</w:t>
            </w:r>
            <w:r>
              <w:rPr>
                <w:rFonts w:ascii="Arial" w:cs="Arial" w:eastAsia="Arial" w:hAnsi="Arial"/>
                <w:b w:val="false"/>
                <w:bCs w:val="false"/>
                <w:color w:val="3A3F47"/>
                <w:sz w:val="19"/>
                <w:szCs w:val="19"/>
              </w:rPr>
              <w:t xml:space="preserve"> — Indonesia's total national AMDK (bottled drinking water) market volume, growing an estimated 4–6% in 2026 (Amdatara / Kontan.co.id, 2026).</w:t>
            </w:r>
          </w:p>
        </w:tc>
      </w:tr>
      <w:tr>
        <w:tc>
          <w:tcPr>
            <w:tcBorders>
              <w:top w:val="single" w:color="E6E6E3" w:sz="2"/>
              <w:left w:val="single" w:color="E6E6E3" w:sz="2"/>
              <w:bottom w:val="single" w:color="E6E6E3" w:sz="2"/>
              <w:right w:val="single" w:color="E6E6E3" w:sz="2"/>
            </w:tcBorders>
            <w:shd w:fill="FBFBFA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rFonts w:ascii="Arial" w:cs="Arial" w:eastAsia="Arial" w:hAnsi="Arial"/>
                <w:b/>
                <w:bCs/>
                <w:color w:val="0B1F3A"/>
                <w:sz w:val="19"/>
                <w:szCs w:val="19"/>
              </w:rPr>
              <w:t xml:space="preserve">SAM</w:t>
            </w:r>
          </w:p>
        </w:tc>
        <w:tc>
          <w:tcPr>
            <w:tcBorders>
              <w:top w:val="single" w:color="E6E6E3" w:sz="2"/>
              <w:left w:val="single" w:color="E6E6E3" w:sz="2"/>
              <w:bottom w:val="single" w:color="E6E6E3" w:sz="2"/>
              <w:right w:val="single" w:color="E6E6E3" w:sz="2"/>
            </w:tcBorders>
            <w:shd w:fill="FFFFFF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rFonts w:ascii="Arial" w:cs="Arial" w:eastAsia="Arial" w:hAnsi="Arial"/>
                <w:b/>
                <w:bCs/>
                <w:color w:val="3A3F47"/>
                <w:sz w:val="19"/>
                <w:szCs w:val="19"/>
              </w:rPr>
              <w:t xml:space="preserve">~1% of TAM (~450 million litres / year)</w:t>
            </w:r>
            <w:r>
              <w:rPr>
                <w:rFonts w:ascii="Arial" w:cs="Arial" w:eastAsia="Arial" w:hAnsi="Arial"/>
                <w:b w:val="false"/>
                <w:bCs w:val="false"/>
                <w:color w:val="3A3F47"/>
                <w:sz w:val="19"/>
                <w:szCs w:val="19"/>
              </w:rPr>
              <w:t xml:space="preserve"> — Management's own estimate of the corporate, HORECA, and regional retail-distribution volume realistically reachable from a single Central Java production facility during the current growth phase — an internal planning assumption, not a sourced industry statistic.</w:t>
            </w:r>
          </w:p>
        </w:tc>
      </w:tr>
      <w:tr>
        <w:tc>
          <w:tcPr>
            <w:tcBorders>
              <w:top w:val="single" w:color="E6E6E3" w:sz="2"/>
              <w:left w:val="single" w:color="E6E6E3" w:sz="2"/>
              <w:bottom w:val="single" w:color="E6E6E3" w:sz="2"/>
              <w:right w:val="single" w:color="E6E6E3" w:sz="2"/>
            </w:tcBorders>
            <w:shd w:fill="FBFBFA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rFonts w:ascii="Arial" w:cs="Arial" w:eastAsia="Arial" w:hAnsi="Arial"/>
                <w:b/>
                <w:bCs/>
                <w:color w:val="0B1F3A"/>
                <w:sz w:val="19"/>
                <w:szCs w:val="19"/>
              </w:rPr>
              <w:t xml:space="preserve">SOM</w:t>
            </w:r>
          </w:p>
        </w:tc>
        <w:tc>
          <w:tcPr>
            <w:tcBorders>
              <w:top w:val="single" w:color="E6E6E3" w:sz="2"/>
              <w:left w:val="single" w:color="E6E6E3" w:sz="2"/>
              <w:bottom w:val="single" w:color="E6E6E3" w:sz="2"/>
              <w:right w:val="single" w:color="E6E6E3" w:sz="2"/>
            </w:tcBorders>
            <w:shd w:fill="FFFFFF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rFonts w:ascii="Arial" w:cs="Arial" w:eastAsia="Arial" w:hAnsi="Arial"/>
                <w:b/>
                <w:bCs/>
                <w:color w:val="3A3F47"/>
                <w:sz w:val="19"/>
                <w:szCs w:val="19"/>
              </w:rPr>
              <w:t xml:space="preserve">~9–23 million litres / year (target)</w:t>
            </w:r>
            <w:r>
              <w:rPr>
                <w:rFonts w:ascii="Arial" w:cs="Arial" w:eastAsia="Arial" w:hAnsi="Arial"/>
                <w:b w:val="false"/>
                <w:bCs w:val="false"/>
                <w:color w:val="3A3F47"/>
                <w:sz w:val="19"/>
                <w:szCs w:val="19"/>
              </w:rPr>
              <w:t xml:space="preserve"> — Internal 3–5 year planning target: 0.02%–0.05% of TAM, scaling with production-capacity expansion.</w:t>
            </w:r>
          </w:p>
        </w:tc>
      </w:tr>
    </w:tbl>
    <w:p>
      <w:pPr>
        <w:spacing w:after="100"/>
      </w:pP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W w:type="dxa" w:w="9350"/>
            <w:tcBorders>
              <w:top w:val="single" w:color="E6E6E3" w:sz="4"/>
              <w:left w:val="single" w:color="C8A24A" w:sz="24"/>
              <w:bottom w:val="single" w:color="E6E6E3" w:sz="4"/>
              <w:right w:val="single" w:color="E6E6E3" w:sz="4"/>
            </w:tcBorders>
            <w:shd w:fill="FBFBFA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r>
              <w:rPr>
                <w:rFonts w:ascii="Arial" w:cs="Arial" w:eastAsia="Arial" w:hAnsi="Arial"/>
                <w:b/>
                <w:bCs/>
                <w:color w:val="0B1F3A"/>
                <w:sz w:val="19"/>
                <w:szCs w:val="19"/>
              </w:rPr>
              <w:t xml:space="preserve">Methodology &amp; sourcing. </w:t>
            </w:r>
            <w:r>
              <w:rPr>
                <w:rFonts w:ascii="Arial" w:cs="Arial" w:eastAsia="Arial" w:hAnsi="Arial"/>
                <w:color w:val="3A3F47"/>
                <w:sz w:val="19"/>
                <w:szCs w:val="19"/>
              </w:rPr>
              <w:t xml:space="preserve">TAM is a directly cited industry statistic (Amdatara / Kontan.co.id, 2026). SAM and SOM are management's own illustrative estimates, explicitly labelled as such because no publicly sourced regional or single-producer breakdown of the AMDK market exists — they are planning assumptions, not audited or third-party-sourced figures.</w:t>
            </w:r>
          </w:p>
        </w:tc>
      </w:tr>
    </w:tbl>
    <w:p>
      <w:r>
        <w:br w:type="page"/>
      </w:r>
    </w:p>
    <w:p>
      <w:pPr>
        <w:spacing w:after="80"/>
      </w:pPr>
      <w:r>
        <w:rPr>
          <w:rFonts w:ascii="Arial" w:cs="Arial" w:eastAsia="Arial" w:hAnsi="Arial"/>
          <w:b/>
          <w:bCs/>
          <w:color w:val="C8A24A"/>
          <w:sz w:val="17"/>
          <w:szCs w:val="17"/>
        </w:rPr>
        <w:t xml:space="preserve">04 — BUSINESS MODEL</w:t>
      </w:r>
    </w:p>
    <w:p>
      <w:pPr>
        <w:pStyle w:val="Heading1"/>
        <w:spacing w:after="200" w:before="40"/>
      </w:pPr>
      <w:r>
        <w:rPr>
          <w:rFonts w:ascii="Arial" w:cs="Arial" w:eastAsia="Arial" w:hAnsi="Arial"/>
          <w:b/>
          <w:bCs/>
          <w:color w:val="0B1F3A"/>
          <w:sz w:val="32"/>
          <w:szCs w:val="32"/>
        </w:rPr>
        <w:t xml:space="preserve">Volume-Based Production Sales Across Three Channels</w:t>
      </w:r>
    </w:p>
    <w:p>
      <w:pPr>
        <w:spacing w:after="160"/>
      </w:pPr>
      <w:r>
        <w:rPr>
          <w:rFonts w:ascii="Arial" w:cs="Arial" w:eastAsia="Arial" w:hAnsi="Arial"/>
          <w:color w:val="3A3F47"/>
          <w:sz w:val="21"/>
          <w:szCs w:val="21"/>
        </w:rPr>
        <w:t xml:space="preserve">Revenue is generated by selling bottled water in multiple pack sizes across three demand channels, with corporate and HORECA relationships offering the most predictable, repeat volume.</w:t>
      </w:r>
    </w:p>
    <w:p>
      <w:pPr>
        <w:spacing w:after="100"/>
      </w:pPr>
    </w:p>
    <w:p>
      <w:pPr>
        <w:spacing w:after="40" w:before="100"/>
      </w:pPr>
      <w:r>
        <w:rPr>
          <w:rFonts w:ascii="Arial" w:cs="Arial" w:eastAsia="Arial" w:hAnsi="Arial"/>
          <w:b/>
          <w:bCs/>
          <w:color w:val="0B1F3A"/>
          <w:sz w:val="22"/>
          <w:szCs w:val="22"/>
        </w:rPr>
        <w:t xml:space="preserve">1. Production &amp; quality control</w:t>
      </w:r>
    </w:p>
    <w:p>
      <w:pPr>
        <w:spacing w:after="160"/>
      </w:pPr>
      <w:r>
        <w:rPr>
          <w:rFonts w:ascii="Arial" w:cs="Arial" w:eastAsia="Arial" w:hAnsi="Arial"/>
          <w:color w:val="3A3F47"/>
          <w:sz w:val="21"/>
          <w:szCs w:val="21"/>
        </w:rPr>
        <w:t xml:space="preserve">Water is sourced, treated, and bottled under strict food-safety and hygiene standards, across a range of pack sizes.</w:t>
      </w:r>
    </w:p>
    <w:p>
      <w:pPr>
        <w:spacing w:after="40" w:before="100"/>
      </w:pPr>
      <w:r>
        <w:rPr>
          <w:rFonts w:ascii="Arial" w:cs="Arial" w:eastAsia="Arial" w:hAnsi="Arial"/>
          <w:b/>
          <w:bCs/>
          <w:color w:val="0B1F3A"/>
          <w:sz w:val="22"/>
          <w:szCs w:val="22"/>
        </w:rPr>
        <w:t xml:space="preserve">2. Corporate &amp; office supply</w:t>
      </w:r>
    </w:p>
    <w:p>
      <w:pPr>
        <w:spacing w:after="160"/>
      </w:pPr>
      <w:r>
        <w:rPr>
          <w:rFonts w:ascii="Arial" w:cs="Arial" w:eastAsia="Arial" w:hAnsi="Arial"/>
          <w:color w:val="3A3F47"/>
          <w:sz w:val="21"/>
          <w:szCs w:val="21"/>
        </w:rPr>
        <w:t xml:space="preserve">Recurring bulk supply contracts with offices for daily drinking-water needs.</w:t>
      </w:r>
    </w:p>
    <w:p>
      <w:pPr>
        <w:spacing w:after="40" w:before="100"/>
      </w:pPr>
      <w:r>
        <w:rPr>
          <w:rFonts w:ascii="Arial" w:cs="Arial" w:eastAsia="Arial" w:hAnsi="Arial"/>
          <w:b/>
          <w:bCs/>
          <w:color w:val="0B1F3A"/>
          <w:sz w:val="22"/>
          <w:szCs w:val="22"/>
        </w:rPr>
        <w:t xml:space="preserve">3. HORECA channel</w:t>
      </w:r>
    </w:p>
    <w:p>
      <w:pPr>
        <w:spacing w:after="160"/>
      </w:pPr>
      <w:r>
        <w:rPr>
          <w:rFonts w:ascii="Arial" w:cs="Arial" w:eastAsia="Arial" w:hAnsi="Arial"/>
          <w:color w:val="3A3F47"/>
          <w:sz w:val="21"/>
          <w:szCs w:val="21"/>
        </w:rPr>
        <w:t xml:space="preserve">Ongoing supply relationships with hotels, restaurants, and cafes requiring consistent quality and volume.</w:t>
      </w:r>
    </w:p>
    <w:p>
      <w:pPr>
        <w:spacing w:after="40" w:before="100"/>
      </w:pPr>
      <w:r>
        <w:rPr>
          <w:rFonts w:ascii="Arial" w:cs="Arial" w:eastAsia="Arial" w:hAnsi="Arial"/>
          <w:b/>
          <w:bCs/>
          <w:color w:val="0B1F3A"/>
          <w:sz w:val="22"/>
          <w:szCs w:val="22"/>
        </w:rPr>
        <w:t xml:space="preserve">4. Event &amp; retail distribution</w:t>
      </w:r>
    </w:p>
    <w:p>
      <w:pPr>
        <w:spacing w:after="160"/>
      </w:pPr>
      <w:r>
        <w:rPr>
          <w:rFonts w:ascii="Arial" w:cs="Arial" w:eastAsia="Arial" w:hAnsi="Arial"/>
          <w:color w:val="3A3F47"/>
          <w:sz w:val="21"/>
          <w:szCs w:val="21"/>
        </w:rPr>
        <w:t xml:space="preserve">One-off and seasonal event supply, plus distribution into retail channels for broader consumer reach.</w:t>
      </w:r>
    </w:p>
    <w:p>
      <w:pPr>
        <w:spacing w:after="40" w:before="100"/>
      </w:pPr>
      <w:r>
        <w:rPr>
          <w:rFonts w:ascii="Arial" w:cs="Arial" w:eastAsia="Arial" w:hAnsi="Arial"/>
          <w:b/>
          <w:bCs/>
          <w:color w:val="0B1F3A"/>
          <w:sz w:val="22"/>
          <w:szCs w:val="22"/>
        </w:rPr>
        <w:t xml:space="preserve">5. Group cross-referral</w:t>
      </w:r>
    </w:p>
    <w:p>
      <w:pPr>
        <w:spacing w:after="160"/>
      </w:pPr>
      <w:r>
        <w:rPr>
          <w:rFonts w:ascii="Arial" w:cs="Arial" w:eastAsia="Arial" w:hAnsi="Arial"/>
          <w:color w:val="3A3F47"/>
          <w:sz w:val="21"/>
          <w:szCs w:val="21"/>
        </w:rPr>
        <w:t xml:space="preserve">Corporate supply relationships create natural introductions to the group's Legal Services and Business Licensing divisions, and vice versa.</w:t>
      </w:r>
    </w:p>
    <w:p>
      <w:r>
        <w:br w:type="page"/>
      </w:r>
    </w:p>
    <w:p>
      <w:pPr>
        <w:spacing w:after="80"/>
      </w:pPr>
      <w:r>
        <w:rPr>
          <w:rFonts w:ascii="Arial" w:cs="Arial" w:eastAsia="Arial" w:hAnsi="Arial"/>
          <w:b/>
          <w:bCs/>
          <w:color w:val="C8A24A"/>
          <w:sz w:val="17"/>
          <w:szCs w:val="17"/>
        </w:rPr>
        <w:t xml:space="preserve">05 — COMPETITIVE ADVANTAGE (MOAT)</w:t>
      </w:r>
    </w:p>
    <w:p>
      <w:pPr>
        <w:pStyle w:val="Heading1"/>
        <w:spacing w:after="200" w:before="40"/>
      </w:pPr>
      <w:r>
        <w:rPr>
          <w:rFonts w:ascii="Arial" w:cs="Arial" w:eastAsia="Arial" w:hAnsi="Arial"/>
          <w:b/>
          <w:bCs/>
          <w:color w:val="0B1F3A"/>
          <w:sz w:val="32"/>
          <w:szCs w:val="32"/>
        </w:rPr>
        <w:t xml:space="preserve">Why This Is Hard to Copy</w:t>
      </w:r>
    </w:p>
    <w:p>
      <w:pPr>
        <w:spacing w:after="160"/>
      </w:pPr>
      <w:r>
        <w:rPr>
          <w:rFonts w:ascii="Arial" w:cs="Arial" w:eastAsia="Arial" w:hAnsi="Arial"/>
          <w:color w:val="3A3F47"/>
          <w:sz w:val="21"/>
          <w:szCs w:val="21"/>
        </w:rPr>
        <w:t xml:space="preserve">In a commodity-adjacent category, the moat is certification, consistency, and group backing rather than product differentiation alone.</w:t>
      </w:r>
    </w:p>
    <w:p>
      <w:pPr>
        <w:spacing w:after="100"/>
      </w:pPr>
    </w:p>
    <w:p>
      <w:pPr>
        <w:spacing w:after="30" w:before="80"/>
      </w:pPr>
      <w:r>
        <w:rPr>
          <w:rFonts w:ascii="Arial" w:cs="Arial" w:eastAsia="Arial" w:hAnsi="Arial"/>
          <w:b/>
          <w:bCs/>
          <w:color w:val="0B1F3A"/>
          <w:sz w:val="21"/>
          <w:szCs w:val="21"/>
        </w:rPr>
        <w:t xml:space="preserve">Full regulatory compliance</w:t>
      </w:r>
    </w:p>
    <w:p>
      <w:pPr>
        <w:spacing w:after="160"/>
      </w:pPr>
      <w:r>
        <w:rPr>
          <w:rFonts w:ascii="Arial" w:cs="Arial" w:eastAsia="Arial" w:hAnsi="Arial"/>
          <w:color w:val="3A3F47"/>
          <w:sz w:val="21"/>
          <w:szCs w:val="21"/>
        </w:rPr>
        <w:t xml:space="preserve">Meeting Indonesia's AMDK certification requirements (trademark, ISO, SNI, BPOM production and distribution permits) is a real barrier that not every producer clears cleanly.</w:t>
      </w:r>
    </w:p>
    <w:p>
      <w:pPr>
        <w:spacing w:after="30" w:before="80"/>
      </w:pPr>
      <w:r>
        <w:rPr>
          <w:rFonts w:ascii="Arial" w:cs="Arial" w:eastAsia="Arial" w:hAnsi="Arial"/>
          <w:b/>
          <w:bCs/>
          <w:color w:val="0B1F3A"/>
          <w:sz w:val="21"/>
          <w:szCs w:val="21"/>
        </w:rPr>
        <w:t xml:space="preserve">Hygiene &amp; quality-control discipline</w:t>
      </w:r>
    </w:p>
    <w:p>
      <w:pPr>
        <w:spacing w:after="160"/>
      </w:pPr>
      <w:r>
        <w:rPr>
          <w:rFonts w:ascii="Arial" w:cs="Arial" w:eastAsia="Arial" w:hAnsi="Arial"/>
          <w:color w:val="3A3F47"/>
          <w:sz w:val="21"/>
          <w:szCs w:val="21"/>
        </w:rPr>
        <w:t xml:space="preserve">Consistent adherence to strict food-safety standards protects the brand relationship with corporate and HORECA clients who cannot risk supply-quality failures.</w:t>
      </w:r>
    </w:p>
    <w:p>
      <w:pPr>
        <w:spacing w:after="30" w:before="80"/>
      </w:pPr>
      <w:r>
        <w:rPr>
          <w:rFonts w:ascii="Arial" w:cs="Arial" w:eastAsia="Arial" w:hAnsi="Arial"/>
          <w:b/>
          <w:bCs/>
          <w:color w:val="0B1F3A"/>
          <w:sz w:val="21"/>
          <w:szCs w:val="21"/>
        </w:rPr>
        <w:t xml:space="preserve">Backed by an integrated group</w:t>
      </w:r>
    </w:p>
    <w:p>
      <w:pPr>
        <w:spacing w:after="160"/>
      </w:pPr>
      <w:r>
        <w:rPr>
          <w:rFonts w:ascii="Arial" w:cs="Arial" w:eastAsia="Arial" w:hAnsi="Arial"/>
          <w:color w:val="3A3F47"/>
          <w:sz w:val="21"/>
          <w:szCs w:val="21"/>
        </w:rPr>
        <w:t xml:space="preserve">Part of a six-division ecosystem with its own in-house legal and licensing support, rather than a standalone bottler exposed alone to regulatory risk.</w:t>
      </w:r>
    </w:p>
    <w:p>
      <w:pPr>
        <w:spacing w:after="30" w:before="80"/>
      </w:pPr>
      <w:r>
        <w:rPr>
          <w:rFonts w:ascii="Arial" w:cs="Arial" w:eastAsia="Arial" w:hAnsi="Arial"/>
          <w:b/>
          <w:bCs/>
          <w:color w:val="0B1F3A"/>
          <w:sz w:val="21"/>
          <w:szCs w:val="21"/>
        </w:rPr>
        <w:t xml:space="preserve">Category resilience</w:t>
      </w:r>
    </w:p>
    <w:p>
      <w:pPr>
        <w:spacing w:after="160"/>
      </w:pPr>
      <w:r>
        <w:rPr>
          <w:rFonts w:ascii="Arial" w:cs="Arial" w:eastAsia="Arial" w:hAnsi="Arial"/>
          <w:color w:val="3A3F47"/>
          <w:sz w:val="21"/>
          <w:szCs w:val="21"/>
        </w:rPr>
        <w:t xml:space="preserve">Bottled water's status as a daily necessity makes demand comparatively resistant to economic cycles versus discretionary consumer categories.</w:t>
      </w:r>
    </w:p>
    <w:p>
      <w:r>
        <w:br w:type="page"/>
      </w:r>
    </w:p>
    <w:p>
      <w:pPr>
        <w:spacing w:after="80"/>
      </w:pPr>
      <w:r>
        <w:rPr>
          <w:rFonts w:ascii="Arial" w:cs="Arial" w:eastAsia="Arial" w:hAnsi="Arial"/>
          <w:b/>
          <w:bCs/>
          <w:color w:val="C8A24A"/>
          <w:sz w:val="17"/>
          <w:szCs w:val="17"/>
        </w:rPr>
        <w:t xml:space="preserve">06 — TRACTION &amp; FINANCIALS</w:t>
      </w:r>
    </w:p>
    <w:p>
      <w:pPr>
        <w:pStyle w:val="Heading1"/>
        <w:spacing w:after="200" w:before="40"/>
      </w:pPr>
      <w:r>
        <w:rPr>
          <w:rFonts w:ascii="Arial" w:cs="Arial" w:eastAsia="Arial" w:hAnsi="Arial"/>
          <w:b/>
          <w:bCs/>
          <w:color w:val="0B1F3A"/>
          <w:sz w:val="32"/>
          <w:szCs w:val="32"/>
        </w:rPr>
        <w:t xml:space="preserve">Early-Stage, Operationally Active, Financials Available Under NDA</w:t>
      </w:r>
    </w:p>
    <w:p>
      <w:pPr>
        <w:spacing w:after="160"/>
      </w:pPr>
      <w:r>
        <w:rPr>
          <w:rFonts w:ascii="Arial" w:cs="Arial" w:eastAsia="Arial" w:hAnsi="Arial"/>
          <w:color w:val="3A3F47"/>
          <w:sz w:val="21"/>
          <w:szCs w:val="21"/>
        </w:rPr>
        <w:t xml:space="preserve">The division operates today under a registered legal entity, with the Quarentine brand and product-level certifications in place ahead of scaled commercial distribution.</w:t>
      </w:r>
    </w:p>
    <w:p>
      <w:pPr>
        <w:spacing w:after="100"/>
      </w:pP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shd w:fill="0B1F3A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Indicator</w:t>
            </w:r>
          </w:p>
        </w:tc>
        <w:tc>
          <w:tcPr>
            <w:shd w:fill="0B1F3A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Current Status</w:t>
            </w:r>
          </w:p>
        </w:tc>
      </w:tr>
      <w:tr>
        <w:tc>
          <w:tcPr>
            <w:tcBorders>
              <w:top w:val="single" w:color="E6E6E3" w:sz="2"/>
              <w:left w:val="single" w:color="E6E6E3" w:sz="2"/>
              <w:bottom w:val="single" w:color="E6E6E3" w:sz="2"/>
              <w:right w:val="single" w:color="E6E6E3" w:sz="2"/>
            </w:tcBorders>
            <w:shd w:fill="FBFBFA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rFonts w:ascii="Arial" w:cs="Arial" w:eastAsia="Arial" w:hAnsi="Arial"/>
                <w:b/>
                <w:bCs/>
                <w:color w:val="0B1F3A"/>
                <w:sz w:val="19"/>
                <w:szCs w:val="19"/>
              </w:rPr>
              <w:t xml:space="preserve">Legal entity status</w:t>
            </w:r>
          </w:p>
        </w:tc>
        <w:tc>
          <w:tcPr>
            <w:tcBorders>
              <w:top w:val="single" w:color="E6E6E3" w:sz="2"/>
              <w:left w:val="single" w:color="E6E6E3" w:sz="2"/>
              <w:bottom w:val="single" w:color="E6E6E3" w:sz="2"/>
              <w:right w:val="single" w:color="E6E6E3" w:sz="2"/>
            </w:tcBorders>
            <w:shd w:fill="FFFFFF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3A3F47"/>
                <w:sz w:val="19"/>
                <w:szCs w:val="19"/>
              </w:rPr>
              <w:t xml:space="preserve">Active PT, fully registered since 2025 (AHU ratification on file)</w:t>
            </w:r>
          </w:p>
        </w:tc>
      </w:tr>
      <w:tr>
        <w:tc>
          <w:tcPr>
            <w:tcBorders>
              <w:top w:val="single" w:color="E6E6E3" w:sz="2"/>
              <w:left w:val="single" w:color="E6E6E3" w:sz="2"/>
              <w:bottom w:val="single" w:color="E6E6E3" w:sz="2"/>
              <w:right w:val="single" w:color="E6E6E3" w:sz="2"/>
            </w:tcBorders>
            <w:shd w:fill="FBFBFA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rFonts w:ascii="Arial" w:cs="Arial" w:eastAsia="Arial" w:hAnsi="Arial"/>
                <w:b/>
                <w:bCs/>
                <w:color w:val="0B1F3A"/>
                <w:sz w:val="19"/>
                <w:szCs w:val="19"/>
              </w:rPr>
              <w:t xml:space="preserve">Group structure</w:t>
            </w:r>
          </w:p>
        </w:tc>
        <w:tc>
          <w:tcPr>
            <w:tcBorders>
              <w:top w:val="single" w:color="E6E6E3" w:sz="2"/>
              <w:left w:val="single" w:color="E6E6E3" w:sz="2"/>
              <w:bottom w:val="single" w:color="E6E6E3" w:sz="2"/>
              <w:right w:val="single" w:color="E6E6E3" w:sz="2"/>
            </w:tcBorders>
            <w:shd w:fill="FFFFFF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3A3F47"/>
                <w:sz w:val="19"/>
                <w:szCs w:val="19"/>
              </w:rPr>
              <w:t xml:space="preserve">6 integrated, currently operating divisions under one holding entity</w:t>
            </w:r>
          </w:p>
        </w:tc>
      </w:tr>
      <w:tr>
        <w:tc>
          <w:tcPr>
            <w:tcBorders>
              <w:top w:val="single" w:color="E6E6E3" w:sz="2"/>
              <w:left w:val="single" w:color="E6E6E3" w:sz="2"/>
              <w:bottom w:val="single" w:color="E6E6E3" w:sz="2"/>
              <w:right w:val="single" w:color="E6E6E3" w:sz="2"/>
            </w:tcBorders>
            <w:shd w:fill="FBFBFA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rFonts w:ascii="Arial" w:cs="Arial" w:eastAsia="Arial" w:hAnsi="Arial"/>
                <w:b/>
                <w:bCs/>
                <w:color w:val="0B1F3A"/>
                <w:sz w:val="19"/>
                <w:szCs w:val="19"/>
              </w:rPr>
              <w:t xml:space="preserve">Financial history &amp; projections</w:t>
            </w:r>
          </w:p>
        </w:tc>
        <w:tc>
          <w:tcPr>
            <w:tcBorders>
              <w:top w:val="single" w:color="E6E6E3" w:sz="2"/>
              <w:left w:val="single" w:color="E6E6E3" w:sz="2"/>
              <w:bottom w:val="single" w:color="E6E6E3" w:sz="2"/>
              <w:right w:val="single" w:color="E6E6E3" w:sz="2"/>
            </w:tcBorders>
            <w:shd w:fill="FFFFFF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3A3F47"/>
                <w:sz w:val="19"/>
                <w:szCs w:val="19"/>
              </w:rPr>
              <w:t xml:space="preserve">Not disclosed in this document — available to qualified investors under NDA</w:t>
            </w:r>
          </w:p>
        </w:tc>
      </w:tr>
      <w:tr>
        <w:tc>
          <w:tcPr>
            <w:tcBorders>
              <w:top w:val="single" w:color="E6E6E3" w:sz="2"/>
              <w:left w:val="single" w:color="E6E6E3" w:sz="2"/>
              <w:bottom w:val="single" w:color="E6E6E3" w:sz="2"/>
              <w:right w:val="single" w:color="E6E6E3" w:sz="2"/>
            </w:tcBorders>
            <w:shd w:fill="FBFBFA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rFonts w:ascii="Arial" w:cs="Arial" w:eastAsia="Arial" w:hAnsi="Arial"/>
                <w:b/>
                <w:bCs/>
                <w:color w:val="0B1F3A"/>
                <w:sz w:val="19"/>
                <w:szCs w:val="19"/>
              </w:rPr>
              <w:t xml:space="preserve">Brand &amp; product certification</w:t>
            </w:r>
          </w:p>
        </w:tc>
        <w:tc>
          <w:tcPr>
            <w:tcBorders>
              <w:top w:val="single" w:color="E6E6E3" w:sz="2"/>
              <w:left w:val="single" w:color="E6E6E3" w:sz="2"/>
              <w:bottom w:val="single" w:color="E6E6E3" w:sz="2"/>
              <w:right w:val="single" w:color="E6E6E3" w:sz="2"/>
            </w:tcBorders>
            <w:shd w:fill="FFFFFF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3A3F47"/>
                <w:sz w:val="19"/>
                <w:szCs w:val="19"/>
              </w:rPr>
              <w:t xml:space="preserve">Trademark (HKI), ISO, SNI, BPOM production permit (Izin MD), and BPOM distribution permit — see Compliance section</w:t>
            </w:r>
          </w:p>
        </w:tc>
      </w:tr>
      <w:tr>
        <w:tc>
          <w:tcPr>
            <w:tcBorders>
              <w:top w:val="single" w:color="E6E6E3" w:sz="2"/>
              <w:left w:val="single" w:color="E6E6E3" w:sz="2"/>
              <w:bottom w:val="single" w:color="E6E6E3" w:sz="2"/>
              <w:right w:val="single" w:color="E6E6E3" w:sz="2"/>
            </w:tcBorders>
            <w:shd w:fill="FBFBFA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rFonts w:ascii="Arial" w:cs="Arial" w:eastAsia="Arial" w:hAnsi="Arial"/>
                <w:b/>
                <w:bCs/>
                <w:color w:val="0B1F3A"/>
                <w:sz w:val="19"/>
                <w:szCs w:val="19"/>
              </w:rPr>
              <w:t xml:space="preserve">Channels live today</w:t>
            </w:r>
          </w:p>
        </w:tc>
        <w:tc>
          <w:tcPr>
            <w:tcBorders>
              <w:top w:val="single" w:color="E6E6E3" w:sz="2"/>
              <w:left w:val="single" w:color="E6E6E3" w:sz="2"/>
              <w:bottom w:val="single" w:color="E6E6E3" w:sz="2"/>
              <w:right w:val="single" w:color="E6E6E3" w:sz="2"/>
            </w:tcBorders>
            <w:shd w:fill="FFFFFF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3A3F47"/>
                <w:sz w:val="19"/>
                <w:szCs w:val="19"/>
              </w:rPr>
              <w:t xml:space="preserve">Office/corporate, event, HORECA, and retail distribution</w:t>
            </w:r>
          </w:p>
        </w:tc>
      </w:tr>
    </w:tbl>
    <w:p>
      <w:pPr>
        <w:spacing w:after="100"/>
      </w:pP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W w:type="dxa" w:w="9350"/>
            <w:tcBorders>
              <w:top w:val="single" w:color="E6E6E3" w:sz="4"/>
              <w:left w:val="single" w:color="C8A24A" w:sz="24"/>
              <w:bottom w:val="single" w:color="E6E6E3" w:sz="4"/>
              <w:right w:val="single" w:color="E6E6E3" w:sz="4"/>
            </w:tcBorders>
            <w:shd w:fill="FBFBFA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r>
              <w:rPr>
                <w:rFonts w:ascii="Arial" w:cs="Arial" w:eastAsia="Arial" w:hAnsi="Arial"/>
                <w:b/>
                <w:bCs/>
                <w:color w:val="0B1F3A"/>
                <w:sz w:val="19"/>
                <w:szCs w:val="19"/>
              </w:rPr>
              <w:t xml:space="preserve">Disclosure. </w:t>
            </w:r>
            <w:r>
              <w:rPr>
                <w:rFonts w:ascii="Arial" w:cs="Arial" w:eastAsia="Arial" w:hAnsi="Arial"/>
                <w:color w:val="3A3F47"/>
                <w:sz w:val="19"/>
                <w:szCs w:val="19"/>
              </w:rPr>
              <w:t xml:space="preserve">PT Legalku Multi Digital is a founder-operated group in an active growth phase. Historical revenue, user-growth, and forward-looking financial projections are intentionally not included in this public-facing deck; verified figures are shared with qualified investors under a non-disclosure agreement during due diligence. We would rather disclose less than present figures we cannot fully substantiate.</w:t>
            </w:r>
          </w:p>
        </w:tc>
      </w:tr>
    </w:tbl>
    <w:p>
      <w:r>
        <w:br w:type="page"/>
      </w:r>
    </w:p>
    <w:p>
      <w:pPr>
        <w:spacing w:after="80"/>
      </w:pPr>
      <w:r>
        <w:rPr>
          <w:rFonts w:ascii="Arial" w:cs="Arial" w:eastAsia="Arial" w:hAnsi="Arial"/>
          <w:b/>
          <w:bCs/>
          <w:color w:val="C8A24A"/>
          <w:sz w:val="17"/>
          <w:szCs w:val="17"/>
        </w:rPr>
        <w:t xml:space="preserve">07 — SCALABILITY &amp; GROWTH STRATEGY</w:t>
      </w:r>
    </w:p>
    <w:p>
      <w:pPr>
        <w:pStyle w:val="Heading1"/>
        <w:spacing w:after="200" w:before="40"/>
      </w:pPr>
      <w:r>
        <w:rPr>
          <w:rFonts w:ascii="Arial" w:cs="Arial" w:eastAsia="Arial" w:hAnsi="Arial"/>
          <w:b/>
          <w:bCs/>
          <w:color w:val="0B1F3A"/>
          <w:sz w:val="32"/>
          <w:szCs w:val="32"/>
        </w:rPr>
        <w:t xml:space="preserve">From a Single Facility to a Multi-Region Supply Network</w:t>
      </w:r>
    </w:p>
    <w:p>
      <w:pPr>
        <w:spacing w:after="160"/>
      </w:pPr>
      <w:r>
        <w:rPr>
          <w:rFonts w:ascii="Arial" w:cs="Arial" w:eastAsia="Arial" w:hAnsi="Arial"/>
          <w:color w:val="3A3F47"/>
          <w:sz w:val="21"/>
          <w:szCs w:val="21"/>
        </w:rPr>
        <w:t xml:space="preserve">Growth proceeds from certification and quality consolidation, to capacity and distribution expansion, to deeper corporate and HORECA market penetration.</w:t>
      </w:r>
    </w:p>
    <w:p>
      <w:pPr>
        <w:spacing w:after="100"/>
      </w:pPr>
    </w:p>
    <w:p>
      <w:pPr>
        <w:spacing w:after="40" w:before="100"/>
      </w:pPr>
      <w:r>
        <w:rPr>
          <w:rFonts w:ascii="Arial" w:cs="Arial" w:eastAsia="Arial" w:hAnsi="Arial"/>
          <w:b/>
          <w:bCs/>
          <w:color w:val="0B1F3A"/>
          <w:sz w:val="22"/>
          <w:szCs w:val="22"/>
        </w:rPr>
        <w:t xml:space="preserve">1. Years 1–2: Strengthen production &amp; legality</w:t>
      </w:r>
    </w:p>
    <w:p>
      <w:pPr>
        <w:spacing w:after="160"/>
      </w:pPr>
      <w:r>
        <w:rPr>
          <w:rFonts w:ascii="Arial" w:cs="Arial" w:eastAsia="Arial" w:hAnsi="Arial"/>
          <w:color w:val="3A3F47"/>
          <w:sz w:val="21"/>
          <w:szCs w:val="21"/>
        </w:rPr>
        <w:t xml:space="preserve">Ensure production standards and certifications (Trademark, ISO, SNI, BPOM) and quality control are consistently applied across all product variants.</w:t>
      </w:r>
    </w:p>
    <w:p>
      <w:pPr>
        <w:spacing w:after="40" w:before="100"/>
      </w:pPr>
      <w:r>
        <w:rPr>
          <w:rFonts w:ascii="Arial" w:cs="Arial" w:eastAsia="Arial" w:hAnsi="Arial"/>
          <w:b/>
          <w:bCs/>
          <w:color w:val="0B1F3A"/>
          <w:sz w:val="22"/>
          <w:szCs w:val="22"/>
        </w:rPr>
        <w:t xml:space="preserve">2. Years 3–5: Expand capacity &amp; distribution</w:t>
      </w:r>
    </w:p>
    <w:p>
      <w:pPr>
        <w:spacing w:after="160"/>
      </w:pPr>
      <w:r>
        <w:rPr>
          <w:rFonts w:ascii="Arial" w:cs="Arial" w:eastAsia="Arial" w:hAnsi="Arial"/>
          <w:color w:val="3A3F47"/>
          <w:sz w:val="21"/>
          <w:szCs w:val="21"/>
        </w:rPr>
        <w:t xml:space="preserve">Expand production capacity and distributor networks across Indonesian regions, through both online and offline sales channels.</w:t>
      </w:r>
    </w:p>
    <w:p>
      <w:pPr>
        <w:spacing w:after="40" w:before="100"/>
      </w:pPr>
      <w:r>
        <w:rPr>
          <w:rFonts w:ascii="Arial" w:cs="Arial" w:eastAsia="Arial" w:hAnsi="Arial"/>
          <w:b/>
          <w:bCs/>
          <w:color w:val="0B1F3A"/>
          <w:sz w:val="22"/>
          <w:szCs w:val="22"/>
        </w:rPr>
        <w:t xml:space="preserve">3. Year 5+: Corporate &amp; HORECA penetration</w:t>
      </w:r>
    </w:p>
    <w:p>
      <w:pPr>
        <w:spacing w:after="160"/>
      </w:pPr>
      <w:r>
        <w:rPr>
          <w:rFonts w:ascii="Arial" w:cs="Arial" w:eastAsia="Arial" w:hAnsi="Arial"/>
          <w:color w:val="3A3F47"/>
          <w:sz w:val="21"/>
          <w:szCs w:val="21"/>
        </w:rPr>
        <w:t xml:space="preserve">Grow market share in the corporate, HORECA, and large-scale retail segments as the national AMDK industry continues to grow.</w:t>
      </w:r>
    </w:p>
    <w:p>
      <w:pPr>
        <w:spacing w:after="100"/>
      </w:pP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W w:type="dxa" w:w="9350"/>
            <w:tcBorders>
              <w:top w:val="single" w:color="E6E6E3" w:sz="4"/>
              <w:left w:val="single" w:color="C8A24A" w:sz="24"/>
              <w:bottom w:val="single" w:color="E6E6E3" w:sz="4"/>
              <w:right w:val="single" w:color="E6E6E3" w:sz="4"/>
            </w:tcBorders>
            <w:shd w:fill="FBFBFA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r>
              <w:rPr>
                <w:rFonts w:ascii="Arial" w:cs="Arial" w:eastAsia="Arial" w:hAnsi="Arial"/>
                <w:b/>
                <w:bCs/>
                <w:color w:val="0B1F3A"/>
                <w:sz w:val="19"/>
                <w:szCs w:val="19"/>
              </w:rPr>
              <w:t xml:space="preserve"> </w:t>
            </w:r>
            <w:r>
              <w:rPr>
                <w:rFonts w:ascii="Arial" w:cs="Arial" w:eastAsia="Arial" w:hAnsi="Arial"/>
                <w:b/>
                <w:bCs/>
                <w:color w:val="3A3F47"/>
                <w:sz w:val="19"/>
                <w:szCs w:val="19"/>
              </w:rPr>
              <w:t xml:space="preserve">International framing.</w:t>
            </w:r>
            <w:r>
              <w:rPr>
                <w:rFonts w:ascii="Arial" w:cs="Arial" w:eastAsia="Arial" w:hAnsi="Arial"/>
                <w:color w:val="3A3F47"/>
                <w:sz w:val="19"/>
                <w:szCs w:val="19"/>
              </w:rPr>
              <w:t xml:space="preserve"> Bottled-water production and distribution are inherently regional due to shipping-cost economics; the most realistic scale path is multi-site production within Indonesia rather than direct cross-border export. Cross-border relevance would come from replicating the certified-production and quality-control playbook in other Southeast Asian AMDK markets — a directional option, not a committed plan.</w:t>
            </w:r>
          </w:p>
        </w:tc>
      </w:tr>
    </w:tbl>
    <w:p>
      <w:r>
        <w:br w:type="page"/>
      </w:r>
    </w:p>
    <w:p>
      <w:pPr>
        <w:spacing w:after="80"/>
      </w:pPr>
      <w:r>
        <w:rPr>
          <w:rFonts w:ascii="Arial" w:cs="Arial" w:eastAsia="Arial" w:hAnsi="Arial"/>
          <w:b/>
          <w:bCs/>
          <w:color w:val="C8A24A"/>
          <w:sz w:val="17"/>
          <w:szCs w:val="17"/>
        </w:rPr>
        <w:t xml:space="preserve">08 — LEGAL &amp; REGULATORY COMPLIANCE</w:t>
      </w:r>
    </w:p>
    <w:p>
      <w:pPr>
        <w:pStyle w:val="Heading1"/>
        <w:spacing w:after="200" w:before="40"/>
      </w:pPr>
      <w:r>
        <w:rPr>
          <w:rFonts w:ascii="Arial" w:cs="Arial" w:eastAsia="Arial" w:hAnsi="Arial"/>
          <w:b/>
          <w:bCs/>
          <w:color w:val="0B1F3A"/>
          <w:sz w:val="32"/>
          <w:szCs w:val="32"/>
        </w:rPr>
        <w:t xml:space="preserve">Built on a Fully Licensed Legal Foundation</w:t>
      </w:r>
    </w:p>
    <w:p>
      <w:pPr>
        <w:spacing w:after="160"/>
      </w:pPr>
      <w:r>
        <w:rPr>
          <w:rFonts w:ascii="Arial" w:cs="Arial" w:eastAsia="Arial" w:hAnsi="Arial"/>
          <w:color w:val="3A3F47"/>
          <w:sz w:val="21"/>
          <w:szCs w:val="21"/>
        </w:rPr>
        <w:t xml:space="preserve">Quarentine products are produced and distributed with the full certification required for bottled drinking water in Indonesia, from brand protection through to market-release approval.</w:t>
      </w:r>
    </w:p>
    <w:p>
      <w:pPr>
        <w:spacing w:after="100"/>
      </w:pPr>
    </w:p>
    <w:p>
      <w:pPr>
        <w:pStyle w:val="ListParagraph"/>
        <w:numPr>
          <w:ilvl w:val="0"/>
          <w:numId w:val="1"/>
        </w:numPr>
        <w:spacing w:after="100"/>
      </w:pPr>
      <w:r>
        <w:rPr>
          <w:rFonts w:ascii="Arial" w:cs="Arial" w:eastAsia="Arial" w:hAnsi="Arial"/>
          <w:b/>
          <w:bCs/>
          <w:color w:val="3A3F47"/>
          <w:sz w:val="21"/>
          <w:szCs w:val="21"/>
        </w:rPr>
        <w:t xml:space="preserve">Legal Entity:</w:t>
      </w:r>
      <w:r>
        <w:rPr>
          <w:rFonts w:ascii="Arial" w:cs="Arial" w:eastAsia="Arial" w:hAnsi="Arial"/>
          <w:color w:val="3A3F47"/>
          <w:sz w:val="21"/>
          <w:szCs w:val="21"/>
        </w:rPr>
        <w:t xml:space="preserve"> PT (Perseroan Terbatas / Limited Liability Company), ratified under Deed No. AHU-0032243.AH.01.02.Tahun 2025.</w:t>
      </w:r>
    </w:p>
    <w:p>
      <w:pPr>
        <w:pStyle w:val="ListParagraph"/>
        <w:numPr>
          <w:ilvl w:val="0"/>
          <w:numId w:val="1"/>
        </w:numPr>
        <w:spacing w:after="100"/>
      </w:pPr>
      <w:r>
        <w:rPr>
          <w:rFonts w:ascii="Arial" w:cs="Arial" w:eastAsia="Arial" w:hAnsi="Arial"/>
          <w:b/>
          <w:bCs/>
          <w:color w:val="3A3F47"/>
          <w:sz w:val="21"/>
          <w:szCs w:val="21"/>
        </w:rPr>
        <w:t xml:space="preserve">Tax ID (NPWP):</w:t>
      </w:r>
      <w:r>
        <w:rPr>
          <w:rFonts w:ascii="Arial" w:cs="Arial" w:eastAsia="Arial" w:hAnsi="Arial"/>
          <w:color w:val="3A3F47"/>
          <w:sz w:val="21"/>
          <w:szCs w:val="21"/>
        </w:rPr>
        <w:t xml:space="preserve"> 1.000.0000.0187.7604 — registered taxpayer with the Indonesian Directorate General of Taxes.</w:t>
      </w:r>
    </w:p>
    <w:p>
      <w:pPr>
        <w:pStyle w:val="ListParagraph"/>
        <w:numPr>
          <w:ilvl w:val="0"/>
          <w:numId w:val="1"/>
        </w:numPr>
        <w:spacing w:after="100"/>
      </w:pPr>
      <w:r>
        <w:rPr>
          <w:rFonts w:ascii="Arial" w:cs="Arial" w:eastAsia="Arial" w:hAnsi="Arial"/>
          <w:b/>
          <w:bCs/>
          <w:color w:val="3A3F47"/>
          <w:sz w:val="21"/>
          <w:szCs w:val="21"/>
        </w:rPr>
        <w:t xml:space="preserve">Business ID (NIB):</w:t>
      </w:r>
      <w:r>
        <w:rPr>
          <w:rFonts w:ascii="Arial" w:cs="Arial" w:eastAsia="Arial" w:hAnsi="Arial"/>
          <w:color w:val="3A3F47"/>
          <w:sz w:val="21"/>
          <w:szCs w:val="21"/>
        </w:rPr>
        <w:t xml:space="preserve"> 2804250030574 — registered via Indonesia's national OSS (Online Single Submission) system.</w:t>
      </w:r>
    </w:p>
    <w:p>
      <w:pPr>
        <w:pStyle w:val="ListParagraph"/>
        <w:numPr>
          <w:ilvl w:val="0"/>
          <w:numId w:val="1"/>
        </w:numPr>
        <w:spacing w:after="100"/>
      </w:pPr>
      <w:r>
        <w:rPr>
          <w:rFonts w:ascii="Arial" w:cs="Arial" w:eastAsia="Arial" w:hAnsi="Arial"/>
          <w:b/>
          <w:bCs/>
          <w:color w:val="3A3F47"/>
          <w:sz w:val="21"/>
          <w:szCs w:val="21"/>
        </w:rPr>
        <w:t xml:space="preserve">Trademark (HKI):</w:t>
      </w:r>
      <w:r>
        <w:rPr>
          <w:rFonts w:ascii="Arial" w:cs="Arial" w:eastAsia="Arial" w:hAnsi="Arial"/>
          <w:color w:val="3A3F47"/>
          <w:sz w:val="21"/>
          <w:szCs w:val="21"/>
        </w:rPr>
        <w:t xml:space="preserve"> The Quarentine brand is registered and legally protected as company intellectual property.</w:t>
      </w:r>
    </w:p>
    <w:p>
      <w:pPr>
        <w:pStyle w:val="ListParagraph"/>
        <w:numPr>
          <w:ilvl w:val="0"/>
          <w:numId w:val="1"/>
        </w:numPr>
        <w:spacing w:after="100"/>
      </w:pPr>
      <w:r>
        <w:rPr>
          <w:rFonts w:ascii="Arial" w:cs="Arial" w:eastAsia="Arial" w:hAnsi="Arial"/>
          <w:b/>
          <w:bCs/>
          <w:color w:val="3A3F47"/>
          <w:sz w:val="21"/>
          <w:szCs w:val="21"/>
        </w:rPr>
        <w:t xml:space="preserve">ISO:</w:t>
      </w:r>
      <w:r>
        <w:rPr>
          <w:rFonts w:ascii="Arial" w:cs="Arial" w:eastAsia="Arial" w:hAnsi="Arial"/>
          <w:color w:val="3A3F47"/>
          <w:sz w:val="21"/>
          <w:szCs w:val="21"/>
        </w:rPr>
        <w:t xml:space="preserve"> Production quality-management practices follow ISO standards applicable to bottled-water manufacturing.</w:t>
      </w:r>
    </w:p>
    <w:p>
      <w:pPr>
        <w:pStyle w:val="ListParagraph"/>
        <w:numPr>
          <w:ilvl w:val="0"/>
          <w:numId w:val="1"/>
        </w:numPr>
        <w:spacing w:after="100"/>
      </w:pPr>
      <w:r>
        <w:rPr>
          <w:rFonts w:ascii="Arial" w:cs="Arial" w:eastAsia="Arial" w:hAnsi="Arial"/>
          <w:b/>
          <w:bCs/>
          <w:color w:val="3A3F47"/>
          <w:sz w:val="21"/>
          <w:szCs w:val="21"/>
        </w:rPr>
        <w:t xml:space="preserve">SNI:</w:t>
      </w:r>
      <w:r>
        <w:rPr>
          <w:rFonts w:ascii="Arial" w:cs="Arial" w:eastAsia="Arial" w:hAnsi="Arial"/>
          <w:color w:val="3A3F47"/>
          <w:sz w:val="21"/>
          <w:szCs w:val="21"/>
        </w:rPr>
        <w:t xml:space="preserve"> Products are manufactured in accordance with Indonesian National Standards (SNI) for bottled drinking water.</w:t>
      </w:r>
    </w:p>
    <w:p>
      <w:pPr>
        <w:pStyle w:val="ListParagraph"/>
        <w:numPr>
          <w:ilvl w:val="0"/>
          <w:numId w:val="1"/>
        </w:numPr>
        <w:spacing w:after="100"/>
      </w:pPr>
      <w:r>
        <w:rPr>
          <w:rFonts w:ascii="Arial" w:cs="Arial" w:eastAsia="Arial" w:hAnsi="Arial"/>
          <w:b/>
          <w:bCs/>
          <w:color w:val="3A3F47"/>
          <w:sz w:val="21"/>
          <w:szCs w:val="21"/>
        </w:rPr>
        <w:t xml:space="preserve">BPOM Production Permit (Izin MD):</w:t>
      </w:r>
      <w:r>
        <w:rPr>
          <w:rFonts w:ascii="Arial" w:cs="Arial" w:eastAsia="Arial" w:hAnsi="Arial"/>
          <w:color w:val="3A3F47"/>
          <w:sz w:val="21"/>
          <w:szCs w:val="21"/>
        </w:rPr>
        <w:t xml:space="preserve"> The production facility meets BPOM's processed-food production licensing requirements.</w:t>
      </w:r>
    </w:p>
    <w:p>
      <w:pPr>
        <w:pStyle w:val="ListParagraph"/>
        <w:numPr>
          <w:ilvl w:val="0"/>
          <w:numId w:val="1"/>
        </w:numPr>
        <w:spacing w:after="100"/>
      </w:pPr>
      <w:r>
        <w:rPr>
          <w:rFonts w:ascii="Arial" w:cs="Arial" w:eastAsia="Arial" w:hAnsi="Arial"/>
          <w:b/>
          <w:bCs/>
          <w:color w:val="3A3F47"/>
          <w:sz w:val="21"/>
          <w:szCs w:val="21"/>
        </w:rPr>
        <w:t xml:space="preserve">BPOM Distribution Permit:</w:t>
      </w:r>
      <w:r>
        <w:rPr>
          <w:rFonts w:ascii="Arial" w:cs="Arial" w:eastAsia="Arial" w:hAnsi="Arial"/>
          <w:color w:val="3A3F47"/>
          <w:sz w:val="21"/>
          <w:szCs w:val="21"/>
        </w:rPr>
        <w:t xml:space="preserve"> Products carry a BPOM market-release (distribution) permit prior to being sold to consumers.</w:t>
      </w:r>
    </w:p>
    <w:p>
      <w:pPr>
        <w:spacing w:after="100"/>
      </w:pP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W w:type="dxa" w:w="9350"/>
            <w:tcBorders>
              <w:top w:val="single" w:color="E6E6E3" w:sz="4"/>
              <w:left w:val="single" w:color="C8A24A" w:sz="24"/>
              <w:bottom w:val="single" w:color="E6E6E3" w:sz="4"/>
              <w:right w:val="single" w:color="E6E6E3" w:sz="4"/>
            </w:tcBorders>
            <w:shd w:fill="FBFBFA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r>
              <w:rPr>
                <w:rFonts w:ascii="Arial" w:cs="Arial" w:eastAsia="Arial" w:hAnsi="Arial"/>
                <w:b/>
                <w:bCs/>
                <w:color w:val="0B1F3A"/>
                <w:sz w:val="19"/>
                <w:szCs w:val="19"/>
              </w:rPr>
              <w:t xml:space="preserve"> </w:t>
            </w:r>
            <w:r>
              <w:rPr>
                <w:rFonts w:ascii="Arial" w:cs="Arial" w:eastAsia="Arial" w:hAnsi="Arial"/>
                <w:color w:val="3A3F47"/>
                <w:sz w:val="19"/>
                <w:szCs w:val="19"/>
              </w:rPr>
              <w:t xml:space="preserve">Full copies of the Trademark, ISO, SNI, and BPOM certificates are available for due diligence upon request from qualified prospective partners and investors.</w:t>
            </w:r>
          </w:p>
        </w:tc>
      </w:tr>
    </w:tbl>
    <w:p>
      <w:r>
        <w:br w:type="page"/>
      </w:r>
    </w:p>
    <w:p>
      <w:pPr>
        <w:spacing w:after="80"/>
      </w:pPr>
      <w:r>
        <w:rPr>
          <w:rFonts w:ascii="Arial" w:cs="Arial" w:eastAsia="Arial" w:hAnsi="Arial"/>
          <w:b/>
          <w:bCs/>
          <w:color w:val="C8A24A"/>
          <w:sz w:val="17"/>
          <w:szCs w:val="17"/>
        </w:rPr>
        <w:t xml:space="preserve">09 — CORE TEAM</w:t>
      </w:r>
    </w:p>
    <w:p>
      <w:pPr>
        <w:pStyle w:val="Heading1"/>
        <w:spacing w:after="200" w:before="40"/>
      </w:pPr>
      <w:r>
        <w:rPr>
          <w:rFonts w:ascii="Arial" w:cs="Arial" w:eastAsia="Arial" w:hAnsi="Arial"/>
          <w:b/>
          <w:bCs/>
          <w:color w:val="0B1F3A"/>
          <w:sz w:val="32"/>
          <w:szCs w:val="32"/>
        </w:rPr>
        <w:t xml:space="preserve">Leadership Grounded in Legal &amp; Governance Expertise</w:t>
      </w:r>
    </w:p>
    <w:p>
      <w:pPr>
        <w:spacing w:after="160"/>
      </w:pPr>
      <w:r>
        <w:rPr>
          <w:rFonts w:ascii="Arial" w:cs="Arial" w:eastAsia="Arial" w:hAnsi="Arial"/>
          <w:color w:val="3A3F47"/>
          <w:sz w:val="21"/>
          <w:szCs w:val="21"/>
        </w:rPr>
        <w:t xml:space="preserve">Leadership combines legal qualification with governance and management oversight across the group's six divisions.</w:t>
      </w:r>
    </w:p>
    <w:p>
      <w:pPr>
        <w:spacing w:after="100"/>
      </w:pP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shd w:fill="0B1F3A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Name &amp; Role</w:t>
            </w:r>
          </w:p>
        </w:tc>
        <w:tc>
          <w:tcPr>
            <w:shd w:fill="0B1F3A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Background</w:t>
            </w:r>
          </w:p>
        </w:tc>
      </w:tr>
      <w:tr>
        <w:tc>
          <w:tcPr>
            <w:tcBorders>
              <w:top w:val="single" w:color="E6E6E3" w:sz="2"/>
              <w:left w:val="single" w:color="E6E6E3" w:sz="2"/>
              <w:bottom w:val="single" w:color="E6E6E3" w:sz="2"/>
              <w:right w:val="single" w:color="E6E6E3" w:sz="2"/>
            </w:tcBorders>
            <w:shd w:fill="FBFBFA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rFonts w:ascii="Arial" w:cs="Arial" w:eastAsia="Arial" w:hAnsi="Arial"/>
                <w:b/>
                <w:bCs/>
                <w:color w:val="0B1F3A"/>
                <w:sz w:val="19"/>
                <w:szCs w:val="19"/>
              </w:rPr>
              <w:t xml:space="preserve">HM. Asrori, S.H., M.H.
President Director</w:t>
            </w:r>
          </w:p>
        </w:tc>
        <w:tc>
          <w:tcPr>
            <w:tcBorders>
              <w:top w:val="single" w:color="E6E6E3" w:sz="2"/>
              <w:left w:val="single" w:color="E6E6E3" w:sz="2"/>
              <w:bottom w:val="single" w:color="E6E6E3" w:sz="2"/>
              <w:right w:val="single" w:color="E6E6E3" w:sz="2"/>
            </w:tcBorders>
            <w:shd w:fill="FFFFFF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3A3F47"/>
                <w:sz w:val="19"/>
                <w:szCs w:val="19"/>
              </w:rPr>
              <w:t xml:space="preserve">Bachelor of Laws (S.H.) and Master of Laws (M.H.). Leads overall group strategy and legal practice direction. Full CV available under due diligence.</w:t>
            </w:r>
          </w:p>
        </w:tc>
      </w:tr>
      <w:tr>
        <w:tc>
          <w:tcPr>
            <w:tcBorders>
              <w:top w:val="single" w:color="E6E6E3" w:sz="2"/>
              <w:left w:val="single" w:color="E6E6E3" w:sz="2"/>
              <w:bottom w:val="single" w:color="E6E6E3" w:sz="2"/>
              <w:right w:val="single" w:color="E6E6E3" w:sz="2"/>
            </w:tcBorders>
            <w:shd w:fill="FBFBFA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rFonts w:ascii="Arial" w:cs="Arial" w:eastAsia="Arial" w:hAnsi="Arial"/>
                <w:b/>
                <w:bCs/>
                <w:color w:val="0B1F3A"/>
                <w:sz w:val="19"/>
                <w:szCs w:val="19"/>
              </w:rPr>
              <w:t xml:space="preserve">Teguh Santoso, S.H., M.M.
Deputy Director</w:t>
            </w:r>
          </w:p>
        </w:tc>
        <w:tc>
          <w:tcPr>
            <w:tcBorders>
              <w:top w:val="single" w:color="E6E6E3" w:sz="2"/>
              <w:left w:val="single" w:color="E6E6E3" w:sz="2"/>
              <w:bottom w:val="single" w:color="E6E6E3" w:sz="2"/>
              <w:right w:val="single" w:color="E6E6E3" w:sz="2"/>
            </w:tcBorders>
            <w:shd w:fill="FFFFFF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3A3F47"/>
                <w:sz w:val="19"/>
                <w:szCs w:val="19"/>
              </w:rPr>
              <w:t xml:space="preserve">Bachelor of Laws (S.H.) and Master of Management (M.M.). Oversees operations and business management across the group's six divisions. Full CV available under due diligence.</w:t>
            </w:r>
          </w:p>
        </w:tc>
      </w:tr>
      <w:tr>
        <w:tc>
          <w:tcPr>
            <w:tcBorders>
              <w:top w:val="single" w:color="E6E6E3" w:sz="2"/>
              <w:left w:val="single" w:color="E6E6E3" w:sz="2"/>
              <w:bottom w:val="single" w:color="E6E6E3" w:sz="2"/>
              <w:right w:val="single" w:color="E6E6E3" w:sz="2"/>
            </w:tcBorders>
            <w:shd w:fill="FBFBFA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rFonts w:ascii="Arial" w:cs="Arial" w:eastAsia="Arial" w:hAnsi="Arial"/>
                <w:b/>
                <w:bCs/>
                <w:color w:val="0B1F3A"/>
                <w:sz w:val="19"/>
                <w:szCs w:val="19"/>
              </w:rPr>
              <w:t xml:space="preserve">Febryan Alam Susatyo, S.H., M.H.
Commissioner</w:t>
            </w:r>
          </w:p>
        </w:tc>
        <w:tc>
          <w:tcPr>
            <w:tcBorders>
              <w:top w:val="single" w:color="E6E6E3" w:sz="2"/>
              <w:left w:val="single" w:color="E6E6E3" w:sz="2"/>
              <w:bottom w:val="single" w:color="E6E6E3" w:sz="2"/>
              <w:right w:val="single" w:color="E6E6E3" w:sz="2"/>
            </w:tcBorders>
            <w:shd w:fill="FFFFFF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3A3F47"/>
                <w:sz w:val="19"/>
                <w:szCs w:val="19"/>
              </w:rPr>
              <w:t xml:space="preserve">Bachelor of Laws (S.H.) and Master of Laws (M.H.). Provides governance oversight of legal and corporate affairs. Full CV available under due diligence.</w:t>
            </w:r>
          </w:p>
        </w:tc>
      </w:tr>
    </w:tbl>
    <w:p>
      <w:pPr>
        <w:spacing w:after="100"/>
      </w:pP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W w:type="dxa" w:w="9350"/>
            <w:tcBorders>
              <w:top w:val="single" w:color="E6E6E3" w:sz="4"/>
              <w:left w:val="single" w:color="C8A24A" w:sz="24"/>
              <w:bottom w:val="single" w:color="E6E6E3" w:sz="4"/>
              <w:right w:val="single" w:color="E6E6E3" w:sz="4"/>
            </w:tcBorders>
            <w:shd w:fill="FBFBFA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r>
              <w:rPr>
                <w:rFonts w:ascii="Arial" w:cs="Arial" w:eastAsia="Arial" w:hAnsi="Arial"/>
                <w:b/>
                <w:bCs/>
                <w:color w:val="0B1F3A"/>
                <w:sz w:val="19"/>
                <w:szCs w:val="19"/>
              </w:rPr>
              <w:t xml:space="preserve"> </w:t>
            </w:r>
            <w:r>
              <w:rPr>
                <w:rFonts w:ascii="Arial" w:cs="Arial" w:eastAsia="Arial" w:hAnsi="Arial"/>
                <w:color w:val="3A3F47"/>
                <w:sz w:val="19"/>
                <w:szCs w:val="19"/>
              </w:rPr>
              <w:t xml:space="preserve">Detailed track records, references, and full professional CVs for the leadership team are shared directly with qualified investors during the due-diligence stage.</w:t>
            </w:r>
          </w:p>
        </w:tc>
      </w:tr>
    </w:tbl>
    <w:p>
      <w:r>
        <w:br w:type="page"/>
      </w:r>
    </w:p>
    <w:p>
      <w:pPr>
        <w:spacing w:after="80"/>
      </w:pPr>
      <w:r>
        <w:rPr>
          <w:rFonts w:ascii="Arial" w:cs="Arial" w:eastAsia="Arial" w:hAnsi="Arial"/>
          <w:b/>
          <w:bCs/>
          <w:color w:val="C8A24A"/>
          <w:sz w:val="17"/>
          <w:szCs w:val="17"/>
        </w:rPr>
        <w:t xml:space="preserve">LET'S BUILD THIS TOGETHER</w:t>
      </w:r>
    </w:p>
    <w:p>
      <w:pPr>
        <w:pStyle w:val="Heading1"/>
        <w:spacing w:after="200" w:before="40"/>
      </w:pPr>
      <w:r>
        <w:rPr>
          <w:rFonts w:ascii="Arial" w:cs="Arial" w:eastAsia="Arial" w:hAnsi="Arial"/>
          <w:b/>
          <w:bCs/>
          <w:color w:val="0B1F3A"/>
          <w:sz w:val="32"/>
          <w:szCs w:val="32"/>
        </w:rPr>
        <w:t xml:space="preserve">Invest in a Certified Producer in an Essential, Growing Category</w:t>
      </w:r>
    </w:p>
    <w:p>
      <w:pPr>
        <w:spacing w:after="160"/>
      </w:pPr>
      <w:r>
        <w:rPr>
          <w:rFonts w:ascii="Arial" w:cs="Arial" w:eastAsia="Arial" w:hAnsi="Arial"/>
          <w:color w:val="3A3F47"/>
          <w:sz w:val="21"/>
          <w:szCs w:val="21"/>
        </w:rPr>
        <w:t xml:space="preserve">We welcome conversations with investors and strategic partners who want exposure to Indonesia's resilient bottled-water category through a fully certified, group-backed producer. Full financials and team CVs are available under NDA.</w:t>
      </w:r>
    </w:p>
    <w:p>
      <w:pPr>
        <w:spacing w:after="200"/>
      </w:pPr>
    </w:p>
    <w:p>
      <w:pPr>
        <w:spacing w:after="60"/>
      </w:pPr>
      <w:r>
        <w:rPr>
          <w:rFonts w:ascii="Arial" w:cs="Arial" w:eastAsia="Arial" w:hAnsi="Arial"/>
          <w:b/>
          <w:bCs/>
          <w:color w:val="0B1F3A"/>
          <w:sz w:val="20"/>
          <w:szCs w:val="20"/>
        </w:rPr>
        <w:t xml:space="preserve">WhatsApp: </w:t>
      </w:r>
      <w:r>
        <w:rPr>
          <w:rFonts w:ascii="Arial" w:cs="Arial" w:eastAsia="Arial" w:hAnsi="Arial"/>
          <w:sz w:val="20"/>
          <w:szCs w:val="20"/>
        </w:rPr>
        <w:t xml:space="preserve">0811-2696-066</w:t>
      </w:r>
    </w:p>
    <w:p>
      <w:pPr>
        <w:spacing w:after="60"/>
      </w:pPr>
      <w:r>
        <w:rPr>
          <w:rFonts w:ascii="Arial" w:cs="Arial" w:eastAsia="Arial" w:hAnsi="Arial"/>
          <w:b/>
          <w:bCs/>
          <w:color w:val="0B1F3A"/>
          <w:sz w:val="20"/>
          <w:szCs w:val="20"/>
        </w:rPr>
        <w:t xml:space="preserve">Email: </w:t>
      </w:r>
      <w:r>
        <w:rPr>
          <w:rFonts w:ascii="Arial" w:cs="Arial" w:eastAsia="Arial" w:hAnsi="Arial"/>
          <w:sz w:val="20"/>
          <w:szCs w:val="20"/>
        </w:rPr>
        <w:t xml:space="preserve">adm@legalku.co.id</w:t>
      </w:r>
    </w:p>
    <w:p>
      <w:pPr>
        <w:spacing w:after="60"/>
      </w:pPr>
      <w:r>
        <w:rPr>
          <w:rFonts w:ascii="Arial" w:cs="Arial" w:eastAsia="Arial" w:hAnsi="Arial"/>
          <w:b/>
          <w:bCs/>
          <w:color w:val="0B1F3A"/>
          <w:sz w:val="20"/>
          <w:szCs w:val="20"/>
        </w:rPr>
        <w:t xml:space="preserve">Website: </w:t>
      </w:r>
      <w:r>
        <w:rPr>
          <w:rFonts w:ascii="Arial" w:cs="Arial" w:eastAsia="Arial" w:hAnsi="Arial"/>
          <w:sz w:val="20"/>
          <w:szCs w:val="20"/>
        </w:rPr>
        <w:t xml:space="preserve">www.legalku.org</w:t>
      </w:r>
    </w:p>
    <w:p>
      <w:pPr>
        <w:spacing w:after="60"/>
      </w:pPr>
      <w:r>
        <w:rPr>
          <w:rFonts w:ascii="Arial" w:cs="Arial" w:eastAsia="Arial" w:hAnsi="Arial"/>
          <w:b/>
          <w:bCs/>
          <w:color w:val="0B1F3A"/>
          <w:sz w:val="20"/>
          <w:szCs w:val="20"/>
        </w:rPr>
        <w:t xml:space="preserve">Office: </w:t>
      </w:r>
      <w:r>
        <w:rPr>
          <w:rFonts w:ascii="Arial" w:cs="Arial" w:eastAsia="Arial" w:hAnsi="Arial"/>
          <w:sz w:val="20"/>
          <w:szCs w:val="20"/>
        </w:rPr>
        <w:t xml:space="preserve">Jl. Taman Flamboyan Raya No. 26, Pedurungan Lor, Semarang, Indonesia</w:t>
      </w:r>
    </w:p>
    <w:sectPr>
      <w:headerReference w:type="default" r:id="rId7"/>
      <w:footerReference w:type="default" r:id="rId8"/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6E6E3" w:sz="4" w:space="4"/>
      </w:pBdr>
      <w:jc w:val="center"/>
    </w:pPr>
    <w:r>
      <w:rPr>
        <w:rFonts w:ascii="Arial" w:cs="Arial" w:eastAsia="Arial" w:hAnsi="Arial"/>
        <w:color w:val="9AA5B5"/>
        <w:sz w:val="14"/>
        <w:szCs w:val="14"/>
      </w:rPr>
      <w:t xml:space="preserve">© 2026 PT Legalku Multi Digital · Page </w:t>
    </w:r>
    <w:r>
      <w:rPr>
        <w:rFonts w:ascii="Arial" w:cs="Arial" w:eastAsia="Arial" w:hAnsi="Arial"/>
        <w:color w:val="9AA5B5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9AA5B5"/>
        <w:sz w:val="14"/>
        <w:szCs w:val="14"/>
      </w:rPr>
      <w:t xml:space="preserve"> of </w:t>
    </w:r>
    <w:r>
      <w:rPr>
        <w:rFonts w:ascii="Arial" w:cs="Arial" w:eastAsia="Arial" w:hAnsi="Arial"/>
        <w:color w:val="9AA5B5"/>
        <w:sz w:val="14"/>
        <w:szCs w:val="14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6E6E3" w:sz="4" w:space="4"/>
      </w:pBdr>
      <w:jc w:val="right"/>
    </w:pPr>
    <w:r>
      <w:rPr>
        <w:rFonts w:ascii="Arial" w:cs="Arial" w:eastAsia="Arial" w:hAnsi="Arial"/>
        <w:color w:val="9AA5B5"/>
        <w:sz w:val="14"/>
        <w:szCs w:val="14"/>
      </w:rPr>
      <w:t xml:space="preserve">PT LEGALKU MULTI DIGITAL · INVESTOR PITCH DECK — BOTTLED WATER PRODUCTION DIVISION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0316c3375e07790a6ec8503c500827fb9abfa22a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Quarentine Bottled Water — Investor Pitch Deck</dc:title>
  <dc:subject>Investor Pitch Deck — Bottled Water Production Division, PT Legalku Multi Digital, Semarang, Indonesia.</dc:subject>
  <dc:creator>PT Legalku Multi Digital</dc:creator>
  <cp:keywords>investor pitch deck, Quarentine Bottled Water, PT Legalku Multi Digital, Indonesia investment opportunity, Semarang business partnership</cp:keywords>
  <dc:description>Investor Pitch Deck — Bottled Water Production Division, PT Legalku Multi Digital, Semarang, Indonesia.</dc:description>
  <cp:lastModifiedBy>PT Legalku Multi Digital</cp:lastModifiedBy>
  <cp:revision>1</cp:revision>
  <dcterms:created xsi:type="dcterms:W3CDTF">2026-09-03T03:33:16.990Z</dcterms:created>
  <dcterms:modified xsi:type="dcterms:W3CDTF">2026-09-03T03:33:16.990Z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